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numPr>
          <w:ilvl w:val="0"/>
          <w:numId w:val="0"/>
        </w:numPr>
        <w:ind w:leftChars="0"/>
        <w:jc w:val="center"/>
        <w:rPr>
          <w:rFonts w:hint="eastAsia"/>
        </w:rPr>
      </w:pPr>
      <w:bookmarkStart w:id="0" w:name="_Toc2135"/>
      <w:r>
        <w:rPr>
          <w:rFonts w:hint="eastAsia"/>
        </w:rPr>
        <w:t>采购需求</w:t>
      </w:r>
      <w:bookmarkEnd w:id="0"/>
    </w:p>
    <w:p>
      <w:pPr>
        <w:spacing w:line="360" w:lineRule="auto"/>
        <w:rPr>
          <w:rFonts w:hint="eastAsia" w:ascii="宋体"/>
          <w:sz w:val="24"/>
          <w:szCs w:val="28"/>
        </w:rPr>
      </w:pPr>
      <w:bookmarkStart w:id="1" w:name="_Hlt509716920"/>
      <w:bookmarkEnd w:id="1"/>
      <w:r>
        <w:rPr>
          <w:rFonts w:hint="eastAsia" w:ascii="宋体"/>
          <w:sz w:val="24"/>
          <w:szCs w:val="28"/>
        </w:rPr>
        <w:t>前注：</w:t>
      </w:r>
    </w:p>
    <w:p>
      <w:pPr>
        <w:spacing w:line="360" w:lineRule="auto"/>
        <w:rPr>
          <w:rFonts w:hint="eastAsia" w:ascii="宋体"/>
          <w:sz w:val="24"/>
        </w:rPr>
      </w:pPr>
      <w:r>
        <w:rPr>
          <w:rFonts w:hint="eastAsia" w:ascii="宋体"/>
          <w:sz w:val="24"/>
          <w:szCs w:val="28"/>
        </w:rPr>
        <w:t>1、本采购需求中提出的</w:t>
      </w:r>
      <w:r>
        <w:rPr>
          <w:rFonts w:hint="eastAsia" w:ascii="宋体"/>
          <w:sz w:val="24"/>
          <w:szCs w:val="28"/>
          <w:lang w:eastAsia="zh-CN"/>
        </w:rPr>
        <w:t>货物</w:t>
      </w:r>
      <w:r>
        <w:rPr>
          <w:rFonts w:hint="eastAsia" w:ascii="宋体"/>
          <w:sz w:val="24"/>
          <w:szCs w:val="28"/>
        </w:rPr>
        <w:t>方案仅为参考，如无明确限制，投标供应商可以进行优化，提供满足采购人实际需要的更优（或者性能实质上不低于的）</w:t>
      </w:r>
      <w:r>
        <w:rPr>
          <w:rFonts w:hint="eastAsia" w:ascii="宋体"/>
          <w:sz w:val="24"/>
          <w:szCs w:val="28"/>
          <w:lang w:eastAsia="zh-CN"/>
        </w:rPr>
        <w:t>货物</w:t>
      </w:r>
      <w:r>
        <w:rPr>
          <w:rFonts w:hint="eastAsia" w:ascii="宋体"/>
          <w:sz w:val="24"/>
          <w:szCs w:val="28"/>
        </w:rPr>
        <w:t>方案，</w:t>
      </w:r>
      <w:r>
        <w:rPr>
          <w:rFonts w:hint="eastAsia" w:ascii="宋体"/>
          <w:sz w:val="24"/>
        </w:rPr>
        <w:t>且此方案须经评标委员会评审认可；</w:t>
      </w:r>
      <w:r>
        <w:rPr>
          <w:rFonts w:hint="eastAsia" w:ascii="宋体"/>
          <w:sz w:val="24"/>
        </w:rPr>
        <w:cr/>
      </w:r>
      <w:r>
        <w:rPr>
          <w:rFonts w:hint="eastAsia" w:ascii="宋体"/>
          <w:sz w:val="24"/>
        </w:rPr>
        <w:t>2、</w:t>
      </w:r>
      <w:r>
        <w:rPr>
          <w:rFonts w:hint="eastAsia" w:ascii="宋体"/>
          <w:b/>
          <w:sz w:val="24"/>
        </w:rPr>
        <w:t>标</w:t>
      </w:r>
      <w:r>
        <w:rPr>
          <w:rFonts w:hint="eastAsia" w:ascii="宋体" w:hAnsi="宋体"/>
          <w:szCs w:val="21"/>
        </w:rPr>
        <w:t>★</w:t>
      </w:r>
      <w:r>
        <w:rPr>
          <w:rFonts w:hint="eastAsia" w:ascii="宋体"/>
          <w:b/>
          <w:sz w:val="24"/>
        </w:rPr>
        <w:t>设备技术参数不允许负偏离，如出现负偏离视为技术参数不响应，作无效标处理；未标</w:t>
      </w:r>
      <w:r>
        <w:rPr>
          <w:rFonts w:hint="eastAsia" w:ascii="宋体" w:hAnsi="宋体"/>
          <w:szCs w:val="21"/>
        </w:rPr>
        <w:t>★</w:t>
      </w:r>
      <w:r>
        <w:rPr>
          <w:rFonts w:hint="eastAsia" w:ascii="宋体"/>
          <w:b/>
          <w:sz w:val="24"/>
        </w:rPr>
        <w:t>技术参数允许偏离，但供应商应在投标文件中提出偏离说明，供评标委员会评审；</w:t>
      </w:r>
    </w:p>
    <w:p>
      <w:pPr>
        <w:spacing w:line="360" w:lineRule="auto"/>
        <w:rPr>
          <w:rFonts w:hint="eastAsia" w:ascii="宋体"/>
          <w:sz w:val="24"/>
          <w:szCs w:val="28"/>
        </w:rPr>
      </w:pPr>
      <w:r>
        <w:rPr>
          <w:rFonts w:hint="eastAsia" w:ascii="宋体"/>
          <w:sz w:val="24"/>
          <w:szCs w:val="28"/>
        </w:rPr>
        <w:t>3、投标供应商应当在投标文件中列出完成本项目并通过验收所需的所有各项</w:t>
      </w:r>
      <w:r>
        <w:rPr>
          <w:rFonts w:hint="eastAsia" w:ascii="宋体"/>
          <w:sz w:val="24"/>
          <w:szCs w:val="28"/>
          <w:lang w:eastAsia="zh-CN"/>
        </w:rPr>
        <w:t>货物</w:t>
      </w:r>
      <w:r>
        <w:rPr>
          <w:rFonts w:hint="eastAsia" w:ascii="宋体"/>
          <w:sz w:val="24"/>
          <w:szCs w:val="28"/>
        </w:rPr>
        <w:t>等明细表及全部费用。中标供应商必须确保整体通过采购人及有关主管部门验收,所发生的验收费用由中标供应商承担；投标供应商应自行勘察项目现场，如投标供应商因未及时勘察现场而导致的报价缺项漏项废标、或中标后无法完工，投标供应商自行承担一切后果；</w:t>
      </w:r>
    </w:p>
    <w:p>
      <w:pPr>
        <w:spacing w:line="360" w:lineRule="auto"/>
        <w:rPr>
          <w:rFonts w:hint="eastAsia" w:ascii="宋体"/>
          <w:sz w:val="24"/>
          <w:szCs w:val="28"/>
        </w:rPr>
      </w:pPr>
      <w:r>
        <w:rPr>
          <w:rFonts w:hint="eastAsia" w:ascii="宋体"/>
          <w:sz w:val="24"/>
        </w:rPr>
        <w:t>4</w:t>
      </w:r>
      <w:r>
        <w:rPr>
          <w:rFonts w:hint="eastAsia" w:ascii="宋体"/>
          <w:sz w:val="24"/>
          <w:szCs w:val="28"/>
        </w:rPr>
        <w:t>、如对本招标文件有任何疑问或澄清要求，请按本招标文件“投标供应商须知前附表”中约定方式联系</w:t>
      </w:r>
      <w:r>
        <w:rPr>
          <w:rFonts w:hint="eastAsia" w:ascii="宋体"/>
          <w:sz w:val="24"/>
          <w:szCs w:val="24"/>
          <w:u w:val="none"/>
          <w:lang w:val="en-US" w:eastAsia="zh-CN"/>
        </w:rPr>
        <w:t>采购人委托的代理机构</w:t>
      </w:r>
      <w:r>
        <w:rPr>
          <w:rFonts w:hint="eastAsia" w:ascii="宋体"/>
          <w:sz w:val="24"/>
          <w:szCs w:val="28"/>
        </w:rPr>
        <w:t>，或接受答疑截止时间前联系采购人，否则视同理解和接受，开标后</w:t>
      </w:r>
      <w:r>
        <w:rPr>
          <w:rFonts w:hint="eastAsia" w:ascii="宋体"/>
          <w:sz w:val="24"/>
          <w:szCs w:val="24"/>
          <w:u w:val="none"/>
          <w:lang w:val="en-US" w:eastAsia="zh-CN"/>
        </w:rPr>
        <w:t>采购人委托的代理机构</w:t>
      </w:r>
      <w:r>
        <w:rPr>
          <w:rFonts w:hint="eastAsia" w:ascii="宋体"/>
          <w:sz w:val="24"/>
          <w:szCs w:val="28"/>
        </w:rPr>
        <w:t>不再受理对招标文件条款提出的质疑。</w:t>
      </w:r>
    </w:p>
    <w:p>
      <w:pPr>
        <w:rPr>
          <w:rFonts w:hint="eastAsia"/>
        </w:rPr>
      </w:pPr>
    </w:p>
    <w:p>
      <w:pPr>
        <w:spacing w:line="360" w:lineRule="auto"/>
        <w:jc w:val="left"/>
        <w:rPr>
          <w:rFonts w:hint="eastAsia" w:ascii="宋体"/>
          <w:sz w:val="24"/>
          <w:szCs w:val="28"/>
        </w:rPr>
      </w:pPr>
      <w:r>
        <w:rPr>
          <w:rFonts w:hint="eastAsia" w:ascii="宋体"/>
          <w:sz w:val="24"/>
          <w:szCs w:val="28"/>
        </w:rPr>
        <w:t>具体要</w:t>
      </w:r>
      <w:r>
        <w:rPr>
          <w:rFonts w:hint="eastAsia" w:ascii="宋体"/>
          <w:sz w:val="24"/>
          <w:szCs w:val="28"/>
          <w:lang w:val="en-US" w:eastAsia="zh-CN"/>
        </w:rPr>
        <w:t>求</w:t>
      </w:r>
      <w:r>
        <w:rPr>
          <w:rFonts w:hint="eastAsia" w:ascii="宋体"/>
          <w:sz w:val="24"/>
          <w:szCs w:val="28"/>
        </w:rPr>
        <w:t>如下：</w:t>
      </w:r>
    </w:p>
    <w:p>
      <w:pPr>
        <w:spacing w:line="360" w:lineRule="auto"/>
        <w:rPr>
          <w:rFonts w:hint="eastAsia" w:ascii="宋体" w:hAnsi="Times New Roman" w:eastAsia="宋体" w:cs="Times New Roman"/>
          <w:b/>
          <w:bCs/>
          <w:sz w:val="24"/>
          <w:szCs w:val="24"/>
          <w:u w:val="none"/>
          <w:lang w:val="en-US" w:eastAsia="zh-CN"/>
        </w:rPr>
      </w:pPr>
      <w:r>
        <w:rPr>
          <w:rFonts w:hint="eastAsia" w:ascii="宋体" w:hAnsi="Times New Roman" w:eastAsia="宋体" w:cs="Times New Roman"/>
          <w:b/>
          <w:bCs/>
          <w:sz w:val="24"/>
          <w:szCs w:val="24"/>
          <w:u w:val="none"/>
          <w:lang w:val="en-US" w:eastAsia="zh-CN"/>
        </w:rPr>
        <w:t>淮北市疾控中心检测试剂采购项目采购需求：</w:t>
      </w:r>
    </w:p>
    <w:tbl>
      <w:tblPr>
        <w:tblStyle w:val="6"/>
        <w:tblpPr w:leftFromText="180" w:rightFromText="180" w:vertAnchor="text" w:horzAnchor="page" w:tblpX="1291" w:tblpY="610"/>
        <w:tblOverlap w:val="never"/>
        <w:tblW w:w="9055" w:type="dxa"/>
        <w:tblInd w:w="0" w:type="dxa"/>
        <w:tblLayout w:type="fixed"/>
        <w:tblCellMar>
          <w:top w:w="0" w:type="dxa"/>
          <w:left w:w="108" w:type="dxa"/>
          <w:bottom w:w="0" w:type="dxa"/>
          <w:right w:w="108" w:type="dxa"/>
        </w:tblCellMar>
      </w:tblPr>
      <w:tblGrid>
        <w:gridCol w:w="539"/>
        <w:gridCol w:w="1090"/>
        <w:gridCol w:w="994"/>
        <w:gridCol w:w="670"/>
        <w:gridCol w:w="650"/>
        <w:gridCol w:w="5112"/>
      </w:tblGrid>
      <w:tr>
        <w:tblPrEx>
          <w:tblCellMar>
            <w:top w:w="0" w:type="dxa"/>
            <w:left w:w="108" w:type="dxa"/>
            <w:bottom w:w="0" w:type="dxa"/>
            <w:right w:w="108" w:type="dxa"/>
          </w:tblCellMar>
        </w:tblPrEx>
        <w:trPr>
          <w:trHeight w:val="715" w:hRule="exact"/>
        </w:trPr>
        <w:tc>
          <w:tcPr>
            <w:tcW w:w="539" w:type="dxa"/>
            <w:tcBorders>
              <w:top w:val="single" w:color="auto" w:sz="4" w:space="0"/>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序号</w:t>
            </w:r>
          </w:p>
        </w:tc>
        <w:tc>
          <w:tcPr>
            <w:tcW w:w="1090" w:type="dxa"/>
            <w:tcBorders>
              <w:top w:val="single" w:color="auto" w:sz="4" w:space="0"/>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1"/>
                <w:szCs w:val="21"/>
              </w:rPr>
            </w:pPr>
          </w:p>
          <w:p>
            <w:pPr>
              <w:widowControl/>
              <w:snapToGrid w:val="0"/>
              <w:spacing w:before="0" w:beforeAutospacing="0" w:after="0" w:afterAutospacing="0" w:line="240" w:lineRule="auto"/>
              <w:jc w:val="center"/>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名称</w:t>
            </w:r>
          </w:p>
        </w:tc>
        <w:tc>
          <w:tcPr>
            <w:tcW w:w="994" w:type="dxa"/>
            <w:tcBorders>
              <w:top w:val="single" w:color="auto" w:sz="4" w:space="0"/>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kern w:val="0"/>
                <w:sz w:val="21"/>
                <w:szCs w:val="21"/>
              </w:rPr>
            </w:pPr>
          </w:p>
          <w:p>
            <w:pPr>
              <w:widowControl/>
              <w:snapToGrid w:val="0"/>
              <w:spacing w:before="0" w:beforeAutospacing="0" w:after="0" w:afterAutospacing="0" w:line="240" w:lineRule="auto"/>
              <w:ind w:firstLine="210" w:firstLineChars="100"/>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规格</w:t>
            </w:r>
          </w:p>
        </w:tc>
        <w:tc>
          <w:tcPr>
            <w:tcW w:w="670" w:type="dxa"/>
            <w:tcBorders>
              <w:top w:val="single" w:color="auto" w:sz="4" w:space="0"/>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kern w:val="0"/>
                <w:sz w:val="21"/>
                <w:szCs w:val="21"/>
              </w:rPr>
            </w:pPr>
          </w:p>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单位</w:t>
            </w:r>
          </w:p>
        </w:tc>
        <w:tc>
          <w:tcPr>
            <w:tcW w:w="650" w:type="dxa"/>
            <w:tcBorders>
              <w:top w:val="single" w:color="auto" w:sz="4" w:space="0"/>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kern w:val="0"/>
                <w:sz w:val="21"/>
                <w:szCs w:val="21"/>
              </w:rPr>
            </w:pPr>
          </w:p>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数量</w:t>
            </w:r>
          </w:p>
        </w:tc>
        <w:tc>
          <w:tcPr>
            <w:tcW w:w="5112" w:type="dxa"/>
            <w:tcBorders>
              <w:top w:val="single" w:color="auto" w:sz="4" w:space="0"/>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center"/>
              <w:textAlignment w:val="baseline"/>
              <w:rPr>
                <w:rFonts w:hint="eastAsia" w:ascii="宋体" w:hAnsi="宋体" w:cs="宋体"/>
                <w:b w:val="0"/>
                <w:i w:val="0"/>
                <w:caps w:val="0"/>
                <w:color w:val="000000"/>
                <w:spacing w:val="0"/>
                <w:w w:val="100"/>
                <w:kern w:val="0"/>
                <w:sz w:val="21"/>
                <w:szCs w:val="21"/>
                <w:lang w:eastAsia="zh-CN"/>
              </w:rPr>
            </w:pPr>
          </w:p>
          <w:p>
            <w:pPr>
              <w:widowControl/>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1"/>
                <w:szCs w:val="21"/>
                <w:lang w:eastAsia="zh-CN"/>
              </w:rPr>
            </w:pPr>
            <w:r>
              <w:rPr>
                <w:rFonts w:hint="eastAsia" w:ascii="宋体" w:hAnsi="宋体" w:cs="宋体"/>
                <w:b w:val="0"/>
                <w:i w:val="0"/>
                <w:caps w:val="0"/>
                <w:color w:val="000000"/>
                <w:spacing w:val="0"/>
                <w:w w:val="100"/>
                <w:kern w:val="0"/>
                <w:sz w:val="21"/>
                <w:szCs w:val="21"/>
                <w:lang w:eastAsia="zh-CN"/>
              </w:rPr>
              <w:t>参数</w:t>
            </w:r>
          </w:p>
        </w:tc>
      </w:tr>
      <w:tr>
        <w:tblPrEx>
          <w:tblCellMar>
            <w:top w:w="0" w:type="dxa"/>
            <w:left w:w="108" w:type="dxa"/>
            <w:bottom w:w="0" w:type="dxa"/>
            <w:right w:w="108" w:type="dxa"/>
          </w:tblCellMar>
        </w:tblPrEx>
        <w:trPr>
          <w:trHeight w:val="706" w:hRule="atLeast"/>
        </w:trPr>
        <w:tc>
          <w:tcPr>
            <w:tcW w:w="539" w:type="dxa"/>
            <w:tcBorders>
              <w:top w:val="nil"/>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1</w:t>
            </w:r>
          </w:p>
        </w:tc>
        <w:tc>
          <w:tcPr>
            <w:tcW w:w="1090"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副溶血弧菌核酸检测标准品</w:t>
            </w:r>
          </w:p>
        </w:tc>
        <w:tc>
          <w:tcPr>
            <w:tcW w:w="994"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16支/盒</w:t>
            </w:r>
          </w:p>
        </w:tc>
        <w:tc>
          <w:tcPr>
            <w:tcW w:w="670"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盒</w:t>
            </w:r>
          </w:p>
        </w:tc>
        <w:tc>
          <w:tcPr>
            <w:tcW w:w="650"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hint="eastAsia"/>
                <w:b w:val="0"/>
                <w:i w:val="0"/>
                <w:caps w:val="0"/>
                <w:color w:val="000000"/>
                <w:spacing w:val="0"/>
                <w:w w:val="100"/>
                <w:kern w:val="0"/>
                <w:sz w:val="21"/>
                <w:szCs w:val="21"/>
              </w:rPr>
            </w:pPr>
            <w:r>
              <w:rPr>
                <w:rFonts w:hint="eastAsia"/>
                <w:b w:val="0"/>
                <w:i w:val="0"/>
                <w:caps w:val="0"/>
                <w:color w:val="000000"/>
                <w:spacing w:val="0"/>
                <w:w w:val="100"/>
                <w:kern w:val="0"/>
                <w:sz w:val="21"/>
                <w:szCs w:val="21"/>
              </w:rPr>
              <w:t>1</w:t>
            </w:r>
          </w:p>
        </w:tc>
        <w:tc>
          <w:tcPr>
            <w:tcW w:w="5112" w:type="dxa"/>
            <w:tcBorders>
              <w:top w:val="nil"/>
              <w:left w:val="single" w:color="auto" w:sz="4" w:space="0"/>
              <w:bottom w:val="single" w:color="000000" w:sz="4" w:space="0"/>
              <w:right w:val="single" w:color="auto" w:sz="4" w:space="0"/>
            </w:tcBorders>
            <w:noWrap w:val="0"/>
            <w:vAlign w:val="top"/>
          </w:tcPr>
          <w:p>
            <w:pPr>
              <w:numPr>
                <w:ilvl w:val="0"/>
                <w:numId w:val="2"/>
              </w:numPr>
              <w:snapToGrid w:val="0"/>
              <w:spacing w:before="0" w:beforeAutospacing="0" w:after="0" w:afterAutospacing="0" w:line="240" w:lineRule="auto"/>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包含经数字 PCR 定标的不同浓度灭活副溶血弧菌培养物标准品 5 支，不同浓度副溶血弧菌的核酸标准品 5 支。以及不同于副溶血弧菌以外其它种属病原体核酸标准品6 支</w:t>
            </w:r>
          </w:p>
          <w:p>
            <w:pPr>
              <w:numPr>
                <w:ilvl w:val="0"/>
                <w:numId w:val="2"/>
              </w:numPr>
              <w:snapToGrid w:val="0"/>
              <w:spacing w:before="0" w:beforeAutospacing="0" w:after="0" w:afterAutospacing="0" w:line="240" w:lineRule="auto"/>
              <w:ind w:left="0" w:leftChars="0" w:firstLine="0" w:firstLine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标准品为定值标准品，以相应病原培养物或提取纯化后的核酸为原料，采用基质稀释冻干 而成。标准品均匀，稳定，可适用于开展副溶血弧菌核酸检测相关实验室的室内质量控制， 可有效监控仪器状态、人员操作、试剂盒有效性等，保证检测结果的准确性和可靠性。</w:t>
            </w:r>
          </w:p>
          <w:p>
            <w:pPr>
              <w:numPr>
                <w:ilvl w:val="0"/>
                <w:numId w:val="2"/>
              </w:numPr>
              <w:snapToGrid w:val="0"/>
              <w:spacing w:before="0" w:beforeAutospacing="0" w:after="0" w:afterAutospacing="0" w:line="240" w:lineRule="auto"/>
              <w:ind w:left="0" w:leftChars="0" w:firstLine="0" w:firstLineChars="0"/>
              <w:jc w:val="left"/>
              <w:textAlignment w:val="baseline"/>
              <w:rPr>
                <w:rFonts w:hint="eastAsia"/>
                <w:b w:val="0"/>
                <w:i w:val="0"/>
                <w:caps w:val="0"/>
                <w:color w:val="000000"/>
                <w:spacing w:val="0"/>
                <w:w w:val="100"/>
                <w:sz w:val="21"/>
                <w:szCs w:val="21"/>
                <w:lang w:val="en-US" w:eastAsia="zh-CN"/>
              </w:rPr>
            </w:pPr>
            <w:r>
              <w:rPr>
                <w:rFonts w:hint="eastAsia"/>
                <w:b w:val="0"/>
                <w:i w:val="0"/>
                <w:caps w:val="0"/>
                <w:color w:val="000000"/>
                <w:spacing w:val="0"/>
                <w:w w:val="100"/>
                <w:sz w:val="21"/>
                <w:szCs w:val="21"/>
              </w:rPr>
              <w:t>16 支/盒：冻干型标准品16 支，去离子水4mL，可室温保存和运输。</w:t>
            </w:r>
          </w:p>
          <w:p>
            <w:pPr>
              <w:numPr>
                <w:ilvl w:val="0"/>
                <w:numId w:val="2"/>
              </w:numPr>
              <w:snapToGrid w:val="0"/>
              <w:spacing w:before="0" w:beforeAutospacing="0" w:after="0" w:afterAutospacing="0" w:line="240" w:lineRule="auto"/>
              <w:ind w:left="0" w:leftChars="0" w:firstLine="0" w:firstLineChars="0"/>
              <w:jc w:val="left"/>
              <w:textAlignment w:val="baseline"/>
              <w:rPr>
                <w:rFonts w:hint="eastAsia"/>
                <w:b w:val="0"/>
                <w:i w:val="0"/>
                <w:caps w:val="0"/>
                <w:color w:val="000000"/>
                <w:spacing w:val="0"/>
                <w:w w:val="100"/>
                <w:sz w:val="21"/>
                <w:szCs w:val="21"/>
                <w:lang w:val="en-US" w:eastAsia="zh-CN"/>
              </w:rPr>
            </w:pPr>
            <w:r>
              <w:rPr>
                <w:rFonts w:hint="eastAsia"/>
                <w:b w:val="0"/>
                <w:i w:val="0"/>
                <w:caps w:val="0"/>
                <w:color w:val="000000"/>
                <w:spacing w:val="0"/>
                <w:w w:val="100"/>
                <w:sz w:val="21"/>
                <w:szCs w:val="21"/>
              </w:rPr>
              <w:t>病原体名称:副溶血弧菌，5 支不同浓度的灭活病原菌标准菌株，浓度值：1.3*105   copies/mL、3.2*104 copies/mL、8*103 copies/mL、2*103 copies/mL、5*102 copies/mL ；至少 5 支不同浓度的病原菌核酸标准品，浓度值：1.3*105 copies/mL、3.2*104 copies/mL、 8*103 copies/mL、2*103 copies/mL、5*102 copies/mL ；特异性测试体系包含对应病原菌 相近种属或者相近感染部位病原菌核酸物质不少于 5 种(支) ：百日咳杆菌、福氏志贺菌、 副溶血弧菌、嗜肺军团菌 、A 族链球菌、肠炎沙门氏菌。</w:t>
            </w:r>
          </w:p>
          <w:p>
            <w:pPr>
              <w:snapToGrid w:val="0"/>
              <w:spacing w:before="0" w:beforeAutospacing="0" w:after="0" w:afterAutospacing="0" w:line="240" w:lineRule="auto"/>
              <w:ind w:right="1705"/>
              <w:jc w:val="left"/>
              <w:textAlignment w:val="baseline"/>
              <w:rPr>
                <w:rFonts w:hint="eastAsia"/>
                <w:b w:val="0"/>
                <w:i w:val="0"/>
                <w:caps w:val="0"/>
                <w:color w:val="000000"/>
                <w:spacing w:val="0"/>
                <w:w w:val="100"/>
                <w:kern w:val="0"/>
                <w:sz w:val="21"/>
                <w:szCs w:val="21"/>
                <w:lang w:val="en-US" w:eastAsia="zh-CN"/>
              </w:rPr>
            </w:pPr>
            <w:r>
              <w:rPr>
                <w:rFonts w:hint="eastAsia"/>
                <w:b w:val="0"/>
                <w:i w:val="0"/>
                <w:caps w:val="0"/>
                <w:color w:val="000000"/>
                <w:spacing w:val="0"/>
                <w:w w:val="100"/>
                <w:sz w:val="21"/>
                <w:szCs w:val="21"/>
              </w:rPr>
              <w:t>5.所有标准菌株均具有来源证书。</w:t>
            </w:r>
          </w:p>
        </w:tc>
      </w:tr>
      <w:tr>
        <w:tblPrEx>
          <w:tblCellMar>
            <w:top w:w="0" w:type="dxa"/>
            <w:left w:w="108" w:type="dxa"/>
            <w:bottom w:w="0" w:type="dxa"/>
            <w:right w:w="108" w:type="dxa"/>
          </w:tblCellMar>
        </w:tblPrEx>
        <w:trPr>
          <w:trHeight w:val="776" w:hRule="atLeast"/>
        </w:trPr>
        <w:tc>
          <w:tcPr>
            <w:tcW w:w="539" w:type="dxa"/>
            <w:tcBorders>
              <w:top w:val="nil"/>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2</w:t>
            </w:r>
          </w:p>
        </w:tc>
        <w:tc>
          <w:tcPr>
            <w:tcW w:w="1090"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肠炎沙门氏菌核酸检测标准品</w:t>
            </w:r>
          </w:p>
        </w:tc>
        <w:tc>
          <w:tcPr>
            <w:tcW w:w="994"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16支/盒</w:t>
            </w:r>
          </w:p>
        </w:tc>
        <w:tc>
          <w:tcPr>
            <w:tcW w:w="670"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盒</w:t>
            </w:r>
          </w:p>
        </w:tc>
        <w:tc>
          <w:tcPr>
            <w:tcW w:w="650"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1</w:t>
            </w:r>
          </w:p>
        </w:tc>
        <w:tc>
          <w:tcPr>
            <w:tcW w:w="5112" w:type="dxa"/>
            <w:tcBorders>
              <w:top w:val="nil"/>
              <w:left w:val="single" w:color="auto" w:sz="4" w:space="0"/>
              <w:bottom w:val="single" w:color="000000" w:sz="4" w:space="0"/>
              <w:right w:val="single" w:color="auto" w:sz="4" w:space="0"/>
            </w:tcBorders>
            <w:noWrap w:val="0"/>
            <w:vAlign w:val="top"/>
          </w:tcPr>
          <w:p>
            <w:pPr>
              <w:snapToGrid w:val="0"/>
              <w:spacing w:before="0" w:beforeAutospacing="0" w:after="0" w:afterAutospacing="0" w:line="240" w:lineRule="auto"/>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kern w:val="0"/>
                <w:sz w:val="21"/>
                <w:szCs w:val="21"/>
                <w:lang w:val="en-US" w:eastAsia="zh-CN"/>
              </w:rPr>
              <w:t>1</w:t>
            </w:r>
            <w:r>
              <w:rPr>
                <w:rFonts w:hint="eastAsia"/>
                <w:b w:val="0"/>
                <w:i w:val="0"/>
                <w:caps w:val="0"/>
                <w:color w:val="000000"/>
                <w:spacing w:val="0"/>
                <w:w w:val="100"/>
                <w:sz w:val="21"/>
                <w:szCs w:val="21"/>
                <w:lang w:val="en-US" w:eastAsia="zh-CN"/>
              </w:rPr>
              <w:t>.</w:t>
            </w:r>
            <w:r>
              <w:rPr>
                <w:rFonts w:hint="eastAsia"/>
                <w:b w:val="0"/>
                <w:i w:val="0"/>
                <w:caps w:val="0"/>
                <w:color w:val="000000"/>
                <w:spacing w:val="0"/>
                <w:w w:val="100"/>
                <w:sz w:val="21"/>
                <w:szCs w:val="21"/>
              </w:rPr>
              <w:t>包含经数字 PCR 定标的不同浓度灭活肠炎沙门菌培养物标准品 5 支，不同浓度肠炎沙门 菌的核酸标准品 5 支。以及不同于肠炎沙门菌以外其它种属病原体核酸标准品6 支。</w:t>
            </w:r>
          </w:p>
          <w:p>
            <w:pPr>
              <w:snapToGrid w:val="0"/>
              <w:spacing w:before="0" w:beforeAutospacing="0" w:after="0" w:afterAutospacing="0" w:line="240" w:lineRule="auto"/>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lang w:val="en-US" w:eastAsia="zh-CN"/>
              </w:rPr>
              <w:t>2.</w:t>
            </w:r>
            <w:r>
              <w:rPr>
                <w:rFonts w:hint="eastAsia"/>
                <w:b w:val="0"/>
                <w:i w:val="0"/>
                <w:caps w:val="0"/>
                <w:color w:val="000000"/>
                <w:spacing w:val="0"/>
                <w:w w:val="100"/>
                <w:sz w:val="21"/>
                <w:szCs w:val="21"/>
              </w:rPr>
              <w:t>标准品为定值标准品，以相应病原培养物或提取纯化后的核酸为原料，采用基质稀释冻 而成。标准品均匀，稳定，可适用于开展肠炎沙门菌核酸检测相关实验室的室内质量控制， 可有效监控仪器状态、人员操作、试剂盒有效性等，保证检测结果的准确性和可靠性。</w:t>
            </w:r>
          </w:p>
          <w:p>
            <w:pPr>
              <w:snapToGrid w:val="0"/>
              <w:spacing w:before="0" w:beforeAutospacing="0" w:after="0" w:afterAutospacing="0" w:line="240" w:lineRule="auto"/>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lang w:val="en-US" w:eastAsia="zh-CN"/>
              </w:rPr>
              <w:t>3.</w:t>
            </w:r>
            <w:r>
              <w:rPr>
                <w:rFonts w:hint="eastAsia"/>
                <w:b w:val="0"/>
                <w:i w:val="0"/>
                <w:caps w:val="0"/>
                <w:color w:val="000000"/>
                <w:spacing w:val="0"/>
                <w:w w:val="100"/>
                <w:sz w:val="21"/>
                <w:szCs w:val="21"/>
              </w:rPr>
              <w:t xml:space="preserve">16 支/盒：冻干型标准品16 支，去离子水4mL，可室温保存和运输。  </w:t>
            </w:r>
          </w:p>
          <w:p>
            <w:pPr>
              <w:snapToGrid w:val="0"/>
              <w:spacing w:before="0" w:beforeAutospacing="0" w:after="0" w:afterAutospacing="0" w:line="240" w:lineRule="auto"/>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lang w:val="en-US" w:eastAsia="zh-CN"/>
              </w:rPr>
              <w:t>4.</w:t>
            </w:r>
            <w:r>
              <w:rPr>
                <w:rFonts w:hint="eastAsia"/>
                <w:b w:val="0"/>
                <w:i w:val="0"/>
                <w:caps w:val="0"/>
                <w:color w:val="000000"/>
                <w:spacing w:val="0"/>
                <w:w w:val="100"/>
                <w:sz w:val="21"/>
                <w:szCs w:val="21"/>
              </w:rPr>
              <w:t>病原体名称:肠炎沙门菌，5 支不同浓度的灭活病原菌标准菌株，浓度值：1.3*105   copies/mL、3.2*104 copies/mL、8*103 copies/mL、2*103 copies/mL、5*102 copies/mL ；至少 5 支不同浓度的病原菌核酸标准品，浓度值：1.3*105 copies/mL、3.2*104 copies/mL、 8*103 copies/mL、2*103 copies/mL、5*102 copies/mL ；特异性测试体系包含对应病原菌 相近种属或者相近感染部位病原菌核酸物质不少于 5 种(支) ：百日咳杆菌、福氏志贺菌、 副溶血弧菌、嗜肺军团菌 、A 族链球菌、金黄色葡萄球菌。</w:t>
            </w:r>
          </w:p>
          <w:p>
            <w:pPr>
              <w:snapToGrid w:val="0"/>
              <w:spacing w:before="0" w:beforeAutospacing="0" w:after="0" w:afterAutospacing="0" w:line="240" w:lineRule="auto"/>
              <w:jc w:val="left"/>
              <w:textAlignment w:val="baseline"/>
              <w:rPr>
                <w:rFonts w:hint="eastAsia"/>
                <w:b w:val="0"/>
                <w:i w:val="0"/>
                <w:caps w:val="0"/>
                <w:color w:val="000000"/>
                <w:spacing w:val="0"/>
                <w:w w:val="100"/>
                <w:kern w:val="0"/>
                <w:sz w:val="21"/>
                <w:szCs w:val="21"/>
              </w:rPr>
            </w:pPr>
            <w:r>
              <w:rPr>
                <w:rFonts w:hint="eastAsia"/>
                <w:b w:val="0"/>
                <w:i w:val="0"/>
                <w:caps w:val="0"/>
                <w:color w:val="000000"/>
                <w:spacing w:val="0"/>
                <w:w w:val="100"/>
                <w:sz w:val="21"/>
                <w:szCs w:val="21"/>
              </w:rPr>
              <w:t>5.所有标准菌株均具有来源证书。</w:t>
            </w:r>
          </w:p>
        </w:tc>
      </w:tr>
      <w:tr>
        <w:tblPrEx>
          <w:tblCellMar>
            <w:top w:w="0" w:type="dxa"/>
            <w:left w:w="108" w:type="dxa"/>
            <w:bottom w:w="0" w:type="dxa"/>
            <w:right w:w="108" w:type="dxa"/>
          </w:tblCellMar>
        </w:tblPrEx>
        <w:trPr>
          <w:trHeight w:val="556" w:hRule="atLeast"/>
        </w:trPr>
        <w:tc>
          <w:tcPr>
            <w:tcW w:w="539" w:type="dxa"/>
            <w:tcBorders>
              <w:top w:val="nil"/>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3</w:t>
            </w:r>
          </w:p>
        </w:tc>
        <w:tc>
          <w:tcPr>
            <w:tcW w:w="1090"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金黄色葡萄球菌核酸检测标准品</w:t>
            </w:r>
          </w:p>
        </w:tc>
        <w:tc>
          <w:tcPr>
            <w:tcW w:w="994"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16支/盒</w:t>
            </w:r>
          </w:p>
        </w:tc>
        <w:tc>
          <w:tcPr>
            <w:tcW w:w="670"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盒</w:t>
            </w:r>
          </w:p>
        </w:tc>
        <w:tc>
          <w:tcPr>
            <w:tcW w:w="650"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1</w:t>
            </w:r>
          </w:p>
        </w:tc>
        <w:tc>
          <w:tcPr>
            <w:tcW w:w="5112" w:type="dxa"/>
            <w:tcBorders>
              <w:top w:val="nil"/>
              <w:left w:val="single" w:color="auto" w:sz="4" w:space="0"/>
              <w:bottom w:val="single" w:color="000000" w:sz="4" w:space="0"/>
              <w:right w:val="single" w:color="auto" w:sz="4" w:space="0"/>
            </w:tcBorders>
            <w:noWrap w:val="0"/>
            <w:vAlign w:val="top"/>
          </w:tcPr>
          <w:p>
            <w:pPr>
              <w:snapToGrid w:val="0"/>
              <w:spacing w:before="0" w:beforeAutospacing="0" w:after="0" w:afterAutospacing="0" w:line="240" w:lineRule="auto"/>
              <w:jc w:val="left"/>
              <w:textAlignment w:val="baseline"/>
              <w:rPr>
                <w:rFonts w:hint="eastAsia"/>
                <w:b w:val="0"/>
                <w:i w:val="0"/>
                <w:caps w:val="0"/>
                <w:color w:val="000000"/>
                <w:spacing w:val="0"/>
                <w:w w:val="100"/>
                <w:sz w:val="21"/>
                <w:szCs w:val="21"/>
                <w:lang w:val="en-US" w:eastAsia="zh-CN"/>
              </w:rPr>
            </w:pPr>
            <w:r>
              <w:rPr>
                <w:rFonts w:hint="eastAsia"/>
                <w:b w:val="0"/>
                <w:i w:val="0"/>
                <w:caps w:val="0"/>
                <w:color w:val="000000"/>
                <w:spacing w:val="0"/>
                <w:w w:val="100"/>
                <w:sz w:val="21"/>
                <w:szCs w:val="21"/>
                <w:lang w:val="en-US" w:eastAsia="zh-CN"/>
              </w:rPr>
              <w:t>1.包含经数字 PCR 定标的不同浓度灭活金黄色葡萄球菌培养物标准品 5 支，不同浓度金黄 色葡萄球菌的核酸标准品 5 支。以及不同于金黄色葡萄球菌以外其它种属病原体核酸标准品 6 支。</w:t>
            </w:r>
          </w:p>
          <w:p>
            <w:pPr>
              <w:snapToGrid w:val="0"/>
              <w:spacing w:before="0" w:beforeAutospacing="0" w:after="0" w:afterAutospacing="0" w:line="240" w:lineRule="auto"/>
              <w:jc w:val="left"/>
              <w:textAlignment w:val="baseline"/>
              <w:rPr>
                <w:rFonts w:hint="eastAsia"/>
                <w:b w:val="0"/>
                <w:i w:val="0"/>
                <w:caps w:val="0"/>
                <w:color w:val="000000"/>
                <w:spacing w:val="0"/>
                <w:w w:val="100"/>
                <w:sz w:val="21"/>
                <w:szCs w:val="21"/>
                <w:lang w:val="en-US" w:eastAsia="zh-CN"/>
              </w:rPr>
            </w:pPr>
            <w:r>
              <w:rPr>
                <w:rFonts w:hint="eastAsia"/>
                <w:b w:val="0"/>
                <w:i w:val="0"/>
                <w:caps w:val="0"/>
                <w:color w:val="000000"/>
                <w:spacing w:val="0"/>
                <w:w w:val="100"/>
                <w:sz w:val="21"/>
                <w:szCs w:val="21"/>
                <w:lang w:val="en-US" w:eastAsia="zh-CN"/>
              </w:rPr>
              <w:t>2.标准品为定值标准品，以相应病原培养物或提取纯化后的核酸为原料，采用基质稀释冻干 而成。标准品均匀，稳定，可适用于开展金黄色葡萄球菌核酸检测相关实验室的室内质量控 制，可有效监控仪器状态、人员操作、试剂盒有效性等，保证检测结果的准确性和可靠性。</w:t>
            </w:r>
          </w:p>
          <w:p>
            <w:pPr>
              <w:snapToGrid w:val="0"/>
              <w:spacing w:before="0" w:beforeAutospacing="0" w:after="0" w:afterAutospacing="0" w:line="240" w:lineRule="auto"/>
              <w:jc w:val="left"/>
              <w:textAlignment w:val="baseline"/>
              <w:rPr>
                <w:rFonts w:hint="eastAsia"/>
                <w:b w:val="0"/>
                <w:i w:val="0"/>
                <w:caps w:val="0"/>
                <w:color w:val="000000"/>
                <w:spacing w:val="0"/>
                <w:w w:val="100"/>
                <w:sz w:val="21"/>
                <w:szCs w:val="21"/>
                <w:lang w:val="en-US" w:eastAsia="zh-CN"/>
              </w:rPr>
            </w:pPr>
            <w:r>
              <w:rPr>
                <w:rFonts w:hint="eastAsia"/>
                <w:b w:val="0"/>
                <w:i w:val="0"/>
                <w:caps w:val="0"/>
                <w:color w:val="000000"/>
                <w:spacing w:val="0"/>
                <w:w w:val="100"/>
                <w:sz w:val="21"/>
                <w:szCs w:val="21"/>
                <w:lang w:val="en-US" w:eastAsia="zh-CN"/>
              </w:rPr>
              <w:t>3.16 支/盒：冻干型标准品16 支，去离子水4mL，可室温保存和运输。</w:t>
            </w:r>
          </w:p>
          <w:p>
            <w:pPr>
              <w:snapToGrid w:val="0"/>
              <w:spacing w:before="0" w:beforeAutospacing="0" w:after="0" w:afterAutospacing="0" w:line="240" w:lineRule="auto"/>
              <w:jc w:val="left"/>
              <w:textAlignment w:val="baseline"/>
              <w:rPr>
                <w:rFonts w:hint="eastAsia"/>
                <w:b w:val="0"/>
                <w:i w:val="0"/>
                <w:caps w:val="0"/>
                <w:color w:val="000000"/>
                <w:spacing w:val="0"/>
                <w:w w:val="100"/>
                <w:sz w:val="21"/>
                <w:szCs w:val="21"/>
                <w:lang w:val="en-US" w:eastAsia="zh-CN"/>
              </w:rPr>
            </w:pPr>
            <w:r>
              <w:rPr>
                <w:rFonts w:hint="eastAsia"/>
                <w:b w:val="0"/>
                <w:i w:val="0"/>
                <w:caps w:val="0"/>
                <w:color w:val="000000"/>
                <w:spacing w:val="0"/>
                <w:w w:val="100"/>
                <w:sz w:val="21"/>
                <w:szCs w:val="21"/>
                <w:lang w:val="en-US" w:eastAsia="zh-CN"/>
              </w:rPr>
              <w:t>4.病原体名称:金黄色葡萄球菌，5 支不同浓度的灭活病原菌标准菌株，浓度值：1.3*105  copies/mL、3.2*104 copies/mL、8*103 copies/mL、2*103 copies/mL、5*102 copies/mL ； 至少 5 支不同浓度的病原菌核酸标准品，浓度值：1.3*105 copies/mL、3.2*104 copies/mL、 8*103 copies/mL、2*103 copies/mL、5*102 copies/mL ；特异性测试体系包含对应病原菌 相近种属或者相近感染部位病原菌核酸物质不少于 5 种(支) ：百日咳杆菌、福氏志贺菌、 副溶血弧菌、嗜肺军团菌 、A 族链球菌、肠炎沙门氏菌。</w:t>
            </w:r>
          </w:p>
          <w:p>
            <w:pPr>
              <w:snapToGrid w:val="0"/>
              <w:spacing w:before="0" w:beforeAutospacing="0" w:after="0" w:afterAutospacing="0" w:line="240" w:lineRule="auto"/>
              <w:jc w:val="left"/>
              <w:textAlignment w:val="baseline"/>
              <w:rPr>
                <w:rFonts w:hint="eastAsia"/>
                <w:b w:val="0"/>
                <w:i w:val="0"/>
                <w:caps w:val="0"/>
                <w:color w:val="000000"/>
                <w:spacing w:val="0"/>
                <w:w w:val="100"/>
                <w:kern w:val="0"/>
                <w:sz w:val="21"/>
                <w:szCs w:val="21"/>
              </w:rPr>
            </w:pPr>
            <w:r>
              <w:rPr>
                <w:rFonts w:hint="eastAsia"/>
                <w:b w:val="0"/>
                <w:i w:val="0"/>
                <w:caps w:val="0"/>
                <w:color w:val="000000"/>
                <w:spacing w:val="0"/>
                <w:w w:val="100"/>
                <w:sz w:val="21"/>
                <w:szCs w:val="21"/>
                <w:lang w:val="en-US" w:eastAsia="zh-CN"/>
              </w:rPr>
              <w:t>5.生产企业通过 ISO13458 质量管理体系认证，所有标准菌株均具有来源证书。</w:t>
            </w:r>
          </w:p>
        </w:tc>
      </w:tr>
      <w:tr>
        <w:tblPrEx>
          <w:tblCellMar>
            <w:top w:w="0" w:type="dxa"/>
            <w:left w:w="108" w:type="dxa"/>
            <w:bottom w:w="0" w:type="dxa"/>
            <w:right w:w="108" w:type="dxa"/>
          </w:tblCellMar>
        </w:tblPrEx>
        <w:trPr>
          <w:trHeight w:val="565" w:hRule="atLeast"/>
        </w:trPr>
        <w:tc>
          <w:tcPr>
            <w:tcW w:w="539" w:type="dxa"/>
            <w:tcBorders>
              <w:top w:val="nil"/>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4</w:t>
            </w:r>
          </w:p>
        </w:tc>
        <w:tc>
          <w:tcPr>
            <w:tcW w:w="1090"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嗜肺军团菌核酸检测标准品</w:t>
            </w:r>
          </w:p>
        </w:tc>
        <w:tc>
          <w:tcPr>
            <w:tcW w:w="994"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16支/盒</w:t>
            </w:r>
          </w:p>
        </w:tc>
        <w:tc>
          <w:tcPr>
            <w:tcW w:w="670"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盒</w:t>
            </w:r>
          </w:p>
        </w:tc>
        <w:tc>
          <w:tcPr>
            <w:tcW w:w="650"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1</w:t>
            </w:r>
          </w:p>
        </w:tc>
        <w:tc>
          <w:tcPr>
            <w:tcW w:w="5112" w:type="dxa"/>
            <w:tcBorders>
              <w:top w:val="nil"/>
              <w:left w:val="single" w:color="auto" w:sz="4" w:space="0"/>
              <w:bottom w:val="single" w:color="000000"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lang w:val="en-US" w:eastAsia="zh-CN"/>
              </w:rPr>
              <w:t>1.包含经数字 PCR 定标的不同浓度灭活嗜肺军团菌培养物标准品 5 支，不同浓度嗜肺军团 菌的核酸标准品 5 支。以及不同于嗜肺</w:t>
            </w:r>
            <w:r>
              <w:rPr>
                <w:rFonts w:hint="eastAsia"/>
                <w:b w:val="0"/>
                <w:i w:val="0"/>
                <w:caps w:val="0"/>
                <w:color w:val="000000"/>
                <w:spacing w:val="0"/>
                <w:w w:val="100"/>
                <w:sz w:val="21"/>
                <w:szCs w:val="21"/>
              </w:rPr>
              <w:t>军团菌以外其它种属病原体核酸标准品6 支。</w:t>
            </w:r>
          </w:p>
          <w:p>
            <w:pPr>
              <w:snapToGrid w:val="0"/>
              <w:spacing w:before="0" w:beforeAutospacing="0" w:after="0" w:afterAutospacing="0" w:line="240" w:lineRule="auto"/>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lang w:val="en-US" w:eastAsia="zh-CN"/>
              </w:rPr>
              <w:t>2.</w:t>
            </w:r>
            <w:r>
              <w:rPr>
                <w:rFonts w:hint="eastAsia"/>
                <w:b w:val="0"/>
                <w:i w:val="0"/>
                <w:caps w:val="0"/>
                <w:color w:val="000000"/>
                <w:spacing w:val="0"/>
                <w:w w:val="100"/>
                <w:sz w:val="21"/>
                <w:szCs w:val="21"/>
              </w:rPr>
              <w:t xml:space="preserve">标准品为定值标准品，以相应病原培养物或提取纯化后的核酸为原料，采用基质稀释冻干 而成。标准品均匀，稳定，可适用于开展嗜肺军团菌核酸检测相关实验室的室内质量控制， 可有效监控仪器状态、人员操作、试剂盒有效性等，保证检测结果的准确性和可靠性。    </w:t>
            </w:r>
          </w:p>
          <w:p>
            <w:pPr>
              <w:snapToGrid w:val="0"/>
              <w:spacing w:before="0" w:beforeAutospacing="0" w:after="0" w:afterAutospacing="0" w:line="240" w:lineRule="auto"/>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lang w:val="en-US" w:eastAsia="zh-CN"/>
              </w:rPr>
              <w:t>3.</w:t>
            </w:r>
            <w:r>
              <w:rPr>
                <w:rFonts w:hint="eastAsia"/>
                <w:b w:val="0"/>
                <w:i w:val="0"/>
                <w:caps w:val="0"/>
                <w:color w:val="000000"/>
                <w:spacing w:val="0"/>
                <w:w w:val="100"/>
                <w:sz w:val="21"/>
                <w:szCs w:val="21"/>
              </w:rPr>
              <w:t>16 支/盒：冻干型标准品16 支，去离子水4mL，可室温保存和运输。</w:t>
            </w:r>
          </w:p>
          <w:p>
            <w:pPr>
              <w:snapToGrid w:val="0"/>
              <w:spacing w:before="0" w:beforeAutospacing="0" w:after="0" w:afterAutospacing="0" w:line="240" w:lineRule="auto"/>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lang w:val="en-US" w:eastAsia="zh-CN"/>
              </w:rPr>
              <w:t>4.</w:t>
            </w:r>
            <w:r>
              <w:rPr>
                <w:rFonts w:hint="eastAsia"/>
                <w:b w:val="0"/>
                <w:i w:val="0"/>
                <w:caps w:val="0"/>
                <w:color w:val="000000"/>
                <w:spacing w:val="0"/>
                <w:w w:val="100"/>
                <w:sz w:val="21"/>
                <w:szCs w:val="21"/>
              </w:rPr>
              <w:t>病原体名称:嗜肺军团菌，5 支不同浓度的灭活病原菌标准菌株，浓度值：1.3*105 copies/mL、3.2*104 copies/mL、8*103 copies/mL、2*103 copies/mL、5*102 copies/mL ； 至少 5 支不同浓度的病原菌核酸标准品，浓度值：1.3*105 copies/mL、3.2*104 copies/mL、 8*103 copies/mL、2*103 copies/mL、5*102 copies/mL ；特异性测试体系包含对应病原菌 相近种属或者相近感染部位病原菌核酸物质不少于 5 种(支) ：百日咳杆菌、福氏志贺菌、 副溶血弧菌、肠炎沙门氏菌、A 族链球菌、金黄色葡萄球菌。</w:t>
            </w:r>
          </w:p>
          <w:p>
            <w:pPr>
              <w:snapToGrid w:val="0"/>
              <w:spacing w:before="0" w:beforeAutospacing="0" w:after="0" w:afterAutospacing="0" w:line="240" w:lineRule="auto"/>
              <w:jc w:val="left"/>
              <w:textAlignment w:val="baseline"/>
              <w:rPr>
                <w:rFonts w:hint="eastAsia"/>
                <w:b w:val="0"/>
                <w:i w:val="0"/>
                <w:caps w:val="0"/>
                <w:color w:val="000000"/>
                <w:spacing w:val="0"/>
                <w:w w:val="100"/>
                <w:kern w:val="0"/>
                <w:sz w:val="21"/>
                <w:szCs w:val="21"/>
              </w:rPr>
            </w:pPr>
            <w:r>
              <w:rPr>
                <w:rFonts w:hint="eastAsia"/>
                <w:b w:val="0"/>
                <w:i w:val="0"/>
                <w:caps w:val="0"/>
                <w:color w:val="000000"/>
                <w:spacing w:val="0"/>
                <w:w w:val="100"/>
                <w:sz w:val="21"/>
                <w:szCs w:val="21"/>
              </w:rPr>
              <w:t>5.生产企业通过 ISO13458 质量管理体系认证，所有标准菌株均具有来源证书。</w:t>
            </w:r>
          </w:p>
        </w:tc>
      </w:tr>
      <w:tr>
        <w:tblPrEx>
          <w:tblCellMar>
            <w:top w:w="0" w:type="dxa"/>
            <w:left w:w="108" w:type="dxa"/>
            <w:bottom w:w="0" w:type="dxa"/>
            <w:right w:w="108" w:type="dxa"/>
          </w:tblCellMar>
        </w:tblPrEx>
        <w:trPr>
          <w:trHeight w:val="127" w:hRule="atLeast"/>
        </w:trPr>
        <w:tc>
          <w:tcPr>
            <w:tcW w:w="539" w:type="dxa"/>
            <w:tcBorders>
              <w:top w:val="nil"/>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5</w:t>
            </w:r>
          </w:p>
        </w:tc>
        <w:tc>
          <w:tcPr>
            <w:tcW w:w="1090"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沙门氏菌核酸荧光检测试剂盒</w:t>
            </w:r>
          </w:p>
        </w:tc>
        <w:tc>
          <w:tcPr>
            <w:tcW w:w="994"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50T/盒</w:t>
            </w:r>
          </w:p>
        </w:tc>
        <w:tc>
          <w:tcPr>
            <w:tcW w:w="670"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盒</w:t>
            </w:r>
          </w:p>
        </w:tc>
        <w:tc>
          <w:tcPr>
            <w:tcW w:w="650"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1</w:t>
            </w:r>
          </w:p>
        </w:tc>
        <w:tc>
          <w:tcPr>
            <w:tcW w:w="5112" w:type="dxa"/>
            <w:tcBorders>
              <w:top w:val="nil"/>
              <w:left w:val="single" w:color="auto" w:sz="4" w:space="0"/>
              <w:bottom w:val="single" w:color="000000" w:sz="4" w:space="0"/>
              <w:right w:val="single" w:color="auto" w:sz="4" w:space="0"/>
            </w:tcBorders>
            <w:noWrap w:val="0"/>
            <w:vAlign w:val="top"/>
          </w:tcPr>
          <w:p>
            <w:pPr>
              <w:snapToGrid w:val="0"/>
              <w:spacing w:before="0" w:beforeAutospacing="0" w:after="0" w:afterAutospacing="0" w:line="240" w:lineRule="auto"/>
              <w:jc w:val="left"/>
              <w:textAlignment w:val="baseline"/>
              <w:rPr>
                <w:rFonts w:hint="eastAsia"/>
                <w:b w:val="0"/>
                <w:i w:val="0"/>
                <w:caps w:val="0"/>
                <w:color w:val="000000"/>
                <w:spacing w:val="0"/>
                <w:w w:val="100"/>
                <w:sz w:val="21"/>
                <w:szCs w:val="21"/>
                <w:lang w:eastAsia="zh-CN"/>
              </w:rPr>
            </w:pPr>
            <w:r>
              <w:rPr>
                <w:rFonts w:hint="eastAsia"/>
                <w:b w:val="0"/>
                <w:i w:val="0"/>
                <w:caps w:val="0"/>
                <w:color w:val="000000"/>
                <w:spacing w:val="0"/>
                <w:w w:val="100"/>
                <w:sz w:val="21"/>
                <w:szCs w:val="21"/>
              </w:rPr>
              <w:t>★1.仅采用一个反应管，一次反应完成沙门氏菌核酸的定性检测</w:t>
            </w:r>
            <w:r>
              <w:rPr>
                <w:rFonts w:hint="eastAsia"/>
                <w:b w:val="0"/>
                <w:i w:val="0"/>
                <w:caps w:val="0"/>
                <w:color w:val="000000"/>
                <w:spacing w:val="0"/>
                <w:w w:val="100"/>
                <w:sz w:val="21"/>
                <w:szCs w:val="21"/>
                <w:lang w:eastAsia="zh-CN"/>
              </w:rPr>
              <w:t>，适用于肠炎沙门菌</w:t>
            </w:r>
            <w:r>
              <w:rPr>
                <w:rFonts w:hint="eastAsia"/>
                <w:b w:val="0"/>
                <w:i w:val="0"/>
                <w:caps w:val="0"/>
                <w:color w:val="000000"/>
                <w:spacing w:val="0"/>
                <w:w w:val="100"/>
                <w:sz w:val="21"/>
                <w:szCs w:val="21"/>
                <w:lang w:val="en-US" w:eastAsia="zh-CN"/>
              </w:rPr>
              <w:t>2022致病菌识别网考核方案需求</w:t>
            </w:r>
            <w:r>
              <w:rPr>
                <w:rFonts w:hint="eastAsia"/>
                <w:b w:val="0"/>
                <w:i w:val="0"/>
                <w:caps w:val="0"/>
                <w:color w:val="000000"/>
                <w:spacing w:val="0"/>
                <w:w w:val="100"/>
                <w:sz w:val="21"/>
                <w:szCs w:val="21"/>
              </w:rPr>
              <w:t>。</w:t>
            </w:r>
          </w:p>
          <w:p>
            <w:pPr>
              <w:snapToGrid w:val="0"/>
              <w:spacing w:before="0" w:beforeAutospacing="0" w:after="0" w:afterAutospacing="0" w:line="240" w:lineRule="auto"/>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 xml:space="preserve">★2.检测性能：灵敏度≤500copies/ml，与其他呼吸道致病菌无交叉反应 </w:t>
            </w:r>
          </w:p>
          <w:p>
            <w:pPr>
              <w:snapToGrid w:val="0"/>
              <w:spacing w:before="0" w:beforeAutospacing="0" w:after="0" w:afterAutospacing="0" w:line="240" w:lineRule="auto"/>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lang w:val="en-US" w:eastAsia="zh-CN"/>
              </w:rPr>
              <w:t>3.</w:t>
            </w:r>
            <w:r>
              <w:rPr>
                <w:rFonts w:hint="eastAsia"/>
                <w:b w:val="0"/>
                <w:i w:val="0"/>
                <w:caps w:val="0"/>
                <w:color w:val="000000"/>
                <w:spacing w:val="0"/>
                <w:w w:val="100"/>
                <w:sz w:val="21"/>
                <w:szCs w:val="21"/>
              </w:rPr>
              <w:t>从临床标本、环境样品及保存的菌种经平板划线培养获得的纯培养物或单菌落提取的DNA 核酸样品。</w:t>
            </w:r>
          </w:p>
          <w:p>
            <w:pPr>
              <w:snapToGrid w:val="0"/>
              <w:spacing w:before="0" w:beforeAutospacing="0" w:after="0" w:afterAutospacing="0" w:line="240" w:lineRule="auto"/>
              <w:ind w:left="0" w:left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lang w:val="en-US" w:eastAsia="zh-CN"/>
              </w:rPr>
              <w:t>4.</w:t>
            </w:r>
            <w:r>
              <w:rPr>
                <w:rFonts w:hint="eastAsia"/>
                <w:b w:val="0"/>
                <w:i w:val="0"/>
                <w:caps w:val="0"/>
                <w:color w:val="000000"/>
                <w:spacing w:val="0"/>
                <w:w w:val="100"/>
                <w:sz w:val="21"/>
                <w:szCs w:val="21"/>
              </w:rPr>
              <w:t>到货有效期至少 10 个月；50T/盒</w:t>
            </w:r>
          </w:p>
          <w:p>
            <w:pPr>
              <w:snapToGrid w:val="0"/>
              <w:spacing w:before="0" w:beforeAutospacing="0" w:after="0" w:afterAutospacing="0" w:line="240" w:lineRule="auto"/>
              <w:ind w:left="0" w:left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lang w:val="en-US" w:eastAsia="zh-CN"/>
              </w:rPr>
              <w:t>5.</w:t>
            </w:r>
            <w:r>
              <w:rPr>
                <w:rFonts w:hint="eastAsia"/>
                <w:b w:val="0"/>
                <w:i w:val="0"/>
                <w:caps w:val="0"/>
                <w:color w:val="000000"/>
                <w:spacing w:val="0"/>
                <w:w w:val="100"/>
                <w:sz w:val="21"/>
                <w:szCs w:val="21"/>
              </w:rPr>
              <w:t>质量控制：含有阳性对照，便于结果判定。</w:t>
            </w:r>
          </w:p>
          <w:p>
            <w:pPr>
              <w:snapToGrid w:val="0"/>
              <w:spacing w:before="0" w:beforeAutospacing="0" w:after="0" w:afterAutospacing="0" w:line="240" w:lineRule="auto"/>
              <w:ind w:left="0" w:leftChars="0"/>
              <w:jc w:val="left"/>
              <w:textAlignment w:val="baseline"/>
              <w:rPr>
                <w:rFonts w:hint="eastAsia"/>
                <w:b w:val="0"/>
                <w:i w:val="0"/>
                <w:caps w:val="0"/>
                <w:color w:val="000000"/>
                <w:spacing w:val="0"/>
                <w:w w:val="100"/>
                <w:sz w:val="21"/>
                <w:szCs w:val="21"/>
                <w:lang w:eastAsia="zh-CN"/>
              </w:rPr>
            </w:pPr>
            <w:r>
              <w:rPr>
                <w:rFonts w:hint="eastAsia"/>
                <w:b w:val="0"/>
                <w:i w:val="0"/>
                <w:caps w:val="0"/>
                <w:color w:val="000000"/>
                <w:spacing w:val="0"/>
                <w:w w:val="100"/>
                <w:sz w:val="21"/>
                <w:szCs w:val="21"/>
              </w:rPr>
              <w:t>6.同时可提供水剂试剂和冻干粉检测试剂，以及预分装试剂供实验选择。</w:t>
            </w:r>
          </w:p>
          <w:p>
            <w:pPr>
              <w:snapToGrid w:val="0"/>
              <w:spacing w:before="0" w:beforeAutospacing="0" w:after="0" w:afterAutospacing="0" w:line="240" w:lineRule="auto"/>
              <w:ind w:left="0" w:leftChars="0"/>
              <w:jc w:val="left"/>
              <w:textAlignment w:val="baseline"/>
              <w:rPr>
                <w:rFonts w:hint="eastAsia"/>
                <w:b w:val="0"/>
                <w:i w:val="0"/>
                <w:caps w:val="0"/>
                <w:color w:val="000000"/>
                <w:spacing w:val="0"/>
                <w:w w:val="100"/>
                <w:sz w:val="21"/>
                <w:szCs w:val="21"/>
                <w:lang w:eastAsia="zh-CN"/>
              </w:rPr>
            </w:pPr>
            <w:r>
              <w:rPr>
                <w:rFonts w:hint="eastAsia"/>
                <w:b w:val="0"/>
                <w:i w:val="0"/>
                <w:caps w:val="0"/>
                <w:color w:val="000000"/>
                <w:spacing w:val="0"/>
                <w:w w:val="100"/>
                <w:sz w:val="21"/>
                <w:szCs w:val="21"/>
              </w:rPr>
              <w:t>7. 荧光RT-PCR 反应程序相同。</w:t>
            </w:r>
          </w:p>
          <w:p>
            <w:pPr>
              <w:snapToGrid w:val="0"/>
              <w:spacing w:before="0" w:beforeAutospacing="0" w:after="0" w:afterAutospacing="0" w:line="240" w:lineRule="auto"/>
              <w:ind w:left="0" w:left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★8.反应体系：≤20μL。                                                                                                9.适用于常规的ABI7500,Q5,罗氏480 等仪器。</w:t>
            </w:r>
          </w:p>
        </w:tc>
      </w:tr>
      <w:tr>
        <w:tblPrEx>
          <w:tblCellMar>
            <w:top w:w="0" w:type="dxa"/>
            <w:left w:w="108" w:type="dxa"/>
            <w:bottom w:w="0" w:type="dxa"/>
            <w:right w:w="108" w:type="dxa"/>
          </w:tblCellMar>
        </w:tblPrEx>
        <w:trPr>
          <w:trHeight w:val="634" w:hRule="atLeast"/>
        </w:trPr>
        <w:tc>
          <w:tcPr>
            <w:tcW w:w="539" w:type="dxa"/>
            <w:tcBorders>
              <w:top w:val="nil"/>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6</w:t>
            </w:r>
          </w:p>
        </w:tc>
        <w:tc>
          <w:tcPr>
            <w:tcW w:w="1090"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副溶血弧菌核酸检测荧光检测试剂盒</w:t>
            </w:r>
          </w:p>
        </w:tc>
        <w:tc>
          <w:tcPr>
            <w:tcW w:w="994"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50T/盒</w:t>
            </w:r>
          </w:p>
        </w:tc>
        <w:tc>
          <w:tcPr>
            <w:tcW w:w="670"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盒</w:t>
            </w:r>
          </w:p>
        </w:tc>
        <w:tc>
          <w:tcPr>
            <w:tcW w:w="650"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1</w:t>
            </w:r>
          </w:p>
        </w:tc>
        <w:tc>
          <w:tcPr>
            <w:tcW w:w="5112" w:type="dxa"/>
            <w:tcBorders>
              <w:top w:val="nil"/>
              <w:left w:val="single" w:color="auto" w:sz="4" w:space="0"/>
              <w:bottom w:val="single" w:color="000000" w:sz="4" w:space="0"/>
              <w:right w:val="single" w:color="auto" w:sz="4" w:space="0"/>
            </w:tcBorders>
            <w:noWrap w:val="0"/>
            <w:vAlign w:val="top"/>
          </w:tcPr>
          <w:p>
            <w:pPr>
              <w:snapToGrid w:val="0"/>
              <w:spacing w:before="0" w:beforeAutospacing="0" w:after="0" w:afterAutospacing="0" w:line="240" w:lineRule="auto"/>
              <w:jc w:val="left"/>
              <w:textAlignment w:val="baseline"/>
              <w:rPr>
                <w:rFonts w:hint="eastAsia"/>
                <w:b w:val="0"/>
                <w:i w:val="0"/>
                <w:caps w:val="0"/>
                <w:color w:val="000000"/>
                <w:spacing w:val="0"/>
                <w:w w:val="100"/>
                <w:sz w:val="21"/>
                <w:szCs w:val="21"/>
                <w:lang w:eastAsia="zh-CN"/>
              </w:rPr>
            </w:pPr>
            <w:r>
              <w:rPr>
                <w:rFonts w:hint="eastAsia"/>
                <w:b w:val="0"/>
                <w:i w:val="0"/>
                <w:caps w:val="0"/>
                <w:color w:val="000000"/>
                <w:spacing w:val="0"/>
                <w:w w:val="100"/>
                <w:sz w:val="21"/>
                <w:szCs w:val="21"/>
              </w:rPr>
              <w:t>★1.仅采用一个反应管，一次反应完成副溶血性弧菌核酸的定性检测</w:t>
            </w:r>
            <w:r>
              <w:rPr>
                <w:rFonts w:hint="eastAsia"/>
                <w:b w:val="0"/>
                <w:i w:val="0"/>
                <w:caps w:val="0"/>
                <w:color w:val="000000"/>
                <w:spacing w:val="0"/>
                <w:w w:val="100"/>
                <w:sz w:val="21"/>
                <w:szCs w:val="21"/>
                <w:lang w:eastAsia="zh-CN"/>
              </w:rPr>
              <w:t>。</w:t>
            </w:r>
          </w:p>
          <w:p>
            <w:pPr>
              <w:snapToGrid w:val="0"/>
              <w:spacing w:before="0" w:beforeAutospacing="0" w:after="0" w:afterAutospacing="0" w:line="240" w:lineRule="auto"/>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★2.检测性能：灵敏度≤500copies/ml，与其他呼吸道致病菌无交叉反应。</w:t>
            </w:r>
          </w:p>
          <w:p>
            <w:pPr>
              <w:numPr>
                <w:ilvl w:val="0"/>
                <w:numId w:val="3"/>
              </w:numPr>
              <w:snapToGrid w:val="0"/>
              <w:spacing w:before="0" w:beforeAutospacing="0" w:after="0" w:afterAutospacing="0" w:line="240" w:lineRule="auto"/>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从临床标本、环境样品及保存的菌种经平板划线培养获得的纯培养物或单菌落提取的DNA 核酸样品。</w:t>
            </w:r>
          </w:p>
          <w:p>
            <w:pPr>
              <w:numPr>
                <w:ilvl w:val="0"/>
                <w:numId w:val="3"/>
              </w:numPr>
              <w:snapToGrid w:val="0"/>
              <w:spacing w:before="0" w:beforeAutospacing="0" w:after="0" w:afterAutospacing="0" w:line="240" w:lineRule="auto"/>
              <w:ind w:left="0" w:leftChars="0" w:firstLine="0" w:firstLine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到货有效期至少 10 个月；50T/盒</w:t>
            </w:r>
          </w:p>
          <w:p>
            <w:pPr>
              <w:numPr>
                <w:ilvl w:val="0"/>
                <w:numId w:val="3"/>
              </w:numPr>
              <w:snapToGrid w:val="0"/>
              <w:spacing w:before="0" w:beforeAutospacing="0" w:after="0" w:afterAutospacing="0" w:line="240" w:lineRule="auto"/>
              <w:ind w:left="0" w:leftChars="0" w:firstLine="0" w:firstLine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质量控制：含有阳性对照，便于结果判定。</w:t>
            </w:r>
          </w:p>
          <w:p>
            <w:pPr>
              <w:numPr>
                <w:ilvl w:val="0"/>
                <w:numId w:val="3"/>
              </w:numPr>
              <w:snapToGrid w:val="0"/>
              <w:spacing w:before="0" w:beforeAutospacing="0" w:after="0" w:afterAutospacing="0" w:line="240" w:lineRule="auto"/>
              <w:ind w:left="0" w:leftChars="0" w:firstLine="0" w:firstLine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同时可提供水剂试剂和冻干粉检测试剂，以及预分装试剂供实验选择。</w:t>
            </w:r>
          </w:p>
          <w:p>
            <w:pPr>
              <w:numPr>
                <w:ilvl w:val="0"/>
                <w:numId w:val="3"/>
              </w:numPr>
              <w:snapToGrid w:val="0"/>
              <w:spacing w:before="0" w:beforeAutospacing="0" w:after="0" w:afterAutospacing="0" w:line="240" w:lineRule="auto"/>
              <w:ind w:left="0" w:leftChars="0" w:firstLine="0" w:firstLine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荧光RT-PCR 反应程序相同。</w:t>
            </w:r>
          </w:p>
          <w:p>
            <w:pPr>
              <w:snapToGrid w:val="0"/>
              <w:spacing w:before="0" w:beforeAutospacing="0" w:after="0" w:afterAutospacing="0" w:line="240" w:lineRule="auto"/>
              <w:ind w:left="0" w:left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★8.反应体系：≤20μL。</w:t>
            </w:r>
          </w:p>
          <w:p>
            <w:pPr>
              <w:snapToGrid w:val="0"/>
              <w:spacing w:before="0" w:beforeAutospacing="0" w:after="0" w:afterAutospacing="0" w:line="240" w:lineRule="auto"/>
              <w:ind w:left="0" w:left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9.适用于常规的ABI7500,Q5,罗氏480 等仪器。</w:t>
            </w:r>
          </w:p>
        </w:tc>
      </w:tr>
      <w:tr>
        <w:tblPrEx>
          <w:tblCellMar>
            <w:top w:w="0" w:type="dxa"/>
            <w:left w:w="108" w:type="dxa"/>
            <w:bottom w:w="0" w:type="dxa"/>
            <w:right w:w="108" w:type="dxa"/>
          </w:tblCellMar>
        </w:tblPrEx>
        <w:trPr>
          <w:trHeight w:val="1816" w:hRule="atLeast"/>
        </w:trPr>
        <w:tc>
          <w:tcPr>
            <w:tcW w:w="539" w:type="dxa"/>
            <w:tcBorders>
              <w:top w:val="nil"/>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7</w:t>
            </w:r>
          </w:p>
        </w:tc>
        <w:tc>
          <w:tcPr>
            <w:tcW w:w="1090"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金黄色葡萄球菌核酸荧光检测试剂盒</w:t>
            </w:r>
          </w:p>
        </w:tc>
        <w:tc>
          <w:tcPr>
            <w:tcW w:w="994"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50T/盒</w:t>
            </w:r>
          </w:p>
        </w:tc>
        <w:tc>
          <w:tcPr>
            <w:tcW w:w="670"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盒</w:t>
            </w:r>
          </w:p>
        </w:tc>
        <w:tc>
          <w:tcPr>
            <w:tcW w:w="650" w:type="dxa"/>
            <w:tcBorders>
              <w:top w:val="nil"/>
              <w:left w:val="nil"/>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1</w:t>
            </w:r>
          </w:p>
        </w:tc>
        <w:tc>
          <w:tcPr>
            <w:tcW w:w="5112" w:type="dxa"/>
            <w:tcBorders>
              <w:top w:val="nil"/>
              <w:left w:val="single" w:color="auto" w:sz="4" w:space="0"/>
              <w:bottom w:val="single" w:color="auto" w:sz="4" w:space="0"/>
              <w:right w:val="single" w:color="auto" w:sz="4" w:space="0"/>
            </w:tcBorders>
            <w:noWrap w:val="0"/>
            <w:vAlign w:val="top"/>
          </w:tcPr>
          <w:p>
            <w:pPr>
              <w:snapToGrid w:val="0"/>
              <w:spacing w:before="0" w:beforeAutospacing="0" w:after="0" w:afterAutospacing="0" w:line="240" w:lineRule="auto"/>
              <w:ind w:left="0" w:leftChars="0"/>
              <w:jc w:val="left"/>
              <w:textAlignment w:val="baseline"/>
              <w:rPr>
                <w:rFonts w:hint="eastAsia"/>
                <w:b w:val="0"/>
                <w:i w:val="0"/>
                <w:caps w:val="0"/>
                <w:color w:val="000000"/>
                <w:spacing w:val="0"/>
                <w:w w:val="100"/>
                <w:sz w:val="21"/>
                <w:szCs w:val="21"/>
                <w:lang w:eastAsia="zh-CN"/>
              </w:rPr>
            </w:pPr>
            <w:r>
              <w:rPr>
                <w:rFonts w:hint="eastAsia"/>
                <w:b w:val="0"/>
                <w:i w:val="0"/>
                <w:caps w:val="0"/>
                <w:color w:val="000000"/>
                <w:spacing w:val="0"/>
                <w:w w:val="100"/>
                <w:sz w:val="21"/>
                <w:szCs w:val="21"/>
              </w:rPr>
              <w:t>★1.仅采用一个反应管，一次反应完成金黄色葡萄球菌核酸的定性检测</w:t>
            </w:r>
            <w:r>
              <w:rPr>
                <w:rFonts w:hint="eastAsia"/>
                <w:b w:val="0"/>
                <w:i w:val="0"/>
                <w:caps w:val="0"/>
                <w:color w:val="000000"/>
                <w:spacing w:val="0"/>
                <w:w w:val="100"/>
                <w:sz w:val="21"/>
                <w:szCs w:val="21"/>
                <w:lang w:eastAsia="zh-CN"/>
              </w:rPr>
              <w:t>，适用于金黄色葡萄球菌</w:t>
            </w:r>
            <w:r>
              <w:rPr>
                <w:rFonts w:hint="eastAsia"/>
                <w:b w:val="0"/>
                <w:i w:val="0"/>
                <w:caps w:val="0"/>
                <w:color w:val="000000"/>
                <w:spacing w:val="0"/>
                <w:w w:val="100"/>
                <w:sz w:val="21"/>
                <w:szCs w:val="21"/>
                <w:lang w:val="en-US" w:eastAsia="zh-CN"/>
              </w:rPr>
              <w:t>2022致病菌识别网考核方案需求</w:t>
            </w:r>
            <w:r>
              <w:rPr>
                <w:rFonts w:hint="eastAsia"/>
                <w:b w:val="0"/>
                <w:i w:val="0"/>
                <w:caps w:val="0"/>
                <w:color w:val="000000"/>
                <w:spacing w:val="0"/>
                <w:w w:val="100"/>
                <w:sz w:val="21"/>
                <w:szCs w:val="21"/>
              </w:rPr>
              <w:t>。</w:t>
            </w:r>
          </w:p>
          <w:p>
            <w:pPr>
              <w:snapToGrid w:val="0"/>
              <w:spacing w:before="0" w:beforeAutospacing="0" w:after="0" w:afterAutospacing="0" w:line="240" w:lineRule="auto"/>
              <w:ind w:left="0" w:leftChars="0"/>
              <w:jc w:val="left"/>
              <w:textAlignment w:val="baseline"/>
              <w:rPr>
                <w:rFonts w:hint="eastAsia"/>
                <w:b w:val="0"/>
                <w:i w:val="0"/>
                <w:caps w:val="0"/>
                <w:color w:val="000000"/>
                <w:spacing w:val="0"/>
                <w:w w:val="100"/>
                <w:sz w:val="21"/>
                <w:szCs w:val="21"/>
                <w:lang w:eastAsia="zh-CN"/>
              </w:rPr>
            </w:pPr>
            <w:r>
              <w:rPr>
                <w:rFonts w:hint="eastAsia"/>
                <w:b w:val="0"/>
                <w:i w:val="0"/>
                <w:caps w:val="0"/>
                <w:color w:val="000000"/>
                <w:spacing w:val="0"/>
                <w:w w:val="100"/>
                <w:sz w:val="21"/>
                <w:szCs w:val="21"/>
              </w:rPr>
              <w:t>★2.检测性能：灵敏度≤500copies/ml，与其他呼吸道致病菌无交叉反应</w:t>
            </w:r>
            <w:r>
              <w:rPr>
                <w:rFonts w:hint="eastAsia"/>
                <w:b w:val="0"/>
                <w:i w:val="0"/>
                <w:caps w:val="0"/>
                <w:color w:val="000000"/>
                <w:spacing w:val="0"/>
                <w:w w:val="100"/>
                <w:sz w:val="21"/>
                <w:szCs w:val="21"/>
                <w:lang w:eastAsia="zh-CN"/>
              </w:rPr>
              <w:t>。</w:t>
            </w:r>
          </w:p>
          <w:p>
            <w:pPr>
              <w:numPr>
                <w:ilvl w:val="0"/>
                <w:numId w:val="4"/>
              </w:numPr>
              <w:snapToGrid w:val="0"/>
              <w:spacing w:before="0" w:beforeAutospacing="0" w:after="0" w:afterAutospacing="0" w:line="240" w:lineRule="auto"/>
              <w:ind w:left="0" w:left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从临床标本、环境样品及保存的菌种经平板划线培养获得的纯培养物或单菌落提取的DNA 核酸样品。</w:t>
            </w:r>
          </w:p>
          <w:p>
            <w:pPr>
              <w:numPr>
                <w:ilvl w:val="0"/>
                <w:numId w:val="4"/>
              </w:numPr>
              <w:snapToGrid w:val="0"/>
              <w:spacing w:before="0" w:beforeAutospacing="0" w:after="0" w:afterAutospacing="0" w:line="240" w:lineRule="auto"/>
              <w:ind w:left="0" w:leftChars="0" w:firstLine="0" w:firstLine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到货有效期至少 10 个月；50T/盒</w:t>
            </w:r>
          </w:p>
          <w:p>
            <w:pPr>
              <w:numPr>
                <w:ilvl w:val="0"/>
                <w:numId w:val="4"/>
              </w:numPr>
              <w:snapToGrid w:val="0"/>
              <w:spacing w:before="0" w:beforeAutospacing="0" w:after="0" w:afterAutospacing="0" w:line="240" w:lineRule="auto"/>
              <w:ind w:left="0" w:leftChars="0" w:firstLine="0" w:firstLine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质量控制：含有阳性对照，便于结果判定。</w:t>
            </w:r>
          </w:p>
          <w:p>
            <w:pPr>
              <w:numPr>
                <w:ilvl w:val="0"/>
                <w:numId w:val="4"/>
              </w:numPr>
              <w:snapToGrid w:val="0"/>
              <w:spacing w:before="0" w:beforeAutospacing="0" w:after="0" w:afterAutospacing="0" w:line="240" w:lineRule="auto"/>
              <w:ind w:left="0" w:leftChars="0" w:firstLine="0" w:firstLine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同时可提供水剂试剂和冻干粉检测试剂，以及预分装试剂供实验选择。</w:t>
            </w:r>
          </w:p>
          <w:p>
            <w:pPr>
              <w:numPr>
                <w:ilvl w:val="0"/>
                <w:numId w:val="4"/>
              </w:numPr>
              <w:snapToGrid w:val="0"/>
              <w:spacing w:before="0" w:beforeAutospacing="0" w:after="0" w:afterAutospacing="0" w:line="240" w:lineRule="auto"/>
              <w:ind w:left="0" w:leftChars="0" w:firstLine="0" w:firstLine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荧光RT-PCR 反应程序相同。</w:t>
            </w:r>
          </w:p>
          <w:p>
            <w:pPr>
              <w:snapToGrid w:val="0"/>
              <w:spacing w:before="0" w:beforeAutospacing="0" w:after="0" w:afterAutospacing="0" w:line="240" w:lineRule="auto"/>
              <w:ind w:left="0" w:left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★8.反应体系：≤20μL。</w:t>
            </w:r>
          </w:p>
          <w:p>
            <w:pPr>
              <w:snapToGrid w:val="0"/>
              <w:spacing w:before="0" w:beforeAutospacing="0" w:after="0" w:afterAutospacing="0" w:line="240" w:lineRule="auto"/>
              <w:ind w:left="0" w:left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9.适用于常规的ABI7500,Q5,罗氏480 等仪器。</w:t>
            </w:r>
          </w:p>
        </w:tc>
      </w:tr>
      <w:tr>
        <w:tblPrEx>
          <w:tblCellMar>
            <w:top w:w="0" w:type="dxa"/>
            <w:left w:w="108" w:type="dxa"/>
            <w:bottom w:w="0" w:type="dxa"/>
            <w:right w:w="108" w:type="dxa"/>
          </w:tblCellMar>
        </w:tblPrEx>
        <w:trPr>
          <w:trHeight w:val="497" w:hRule="atLeast"/>
        </w:trPr>
        <w:tc>
          <w:tcPr>
            <w:tcW w:w="539" w:type="dxa"/>
            <w:tcBorders>
              <w:top w:val="single" w:color="auto" w:sz="4" w:space="0"/>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8</w:t>
            </w:r>
          </w:p>
        </w:tc>
        <w:tc>
          <w:tcPr>
            <w:tcW w:w="1090" w:type="dxa"/>
            <w:tcBorders>
              <w:top w:val="single" w:color="auto" w:sz="4" w:space="0"/>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嗜肺军团菌核酸检测荧光检测试剂盒</w:t>
            </w:r>
          </w:p>
        </w:tc>
        <w:tc>
          <w:tcPr>
            <w:tcW w:w="994" w:type="dxa"/>
            <w:tcBorders>
              <w:top w:val="single" w:color="auto" w:sz="4" w:space="0"/>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50T/盒</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盒</w:t>
            </w:r>
          </w:p>
        </w:tc>
        <w:tc>
          <w:tcPr>
            <w:tcW w:w="650" w:type="dxa"/>
            <w:tcBorders>
              <w:top w:val="single" w:color="auto" w:sz="4" w:space="0"/>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ascii="宋体" w:hAnsi="宋体" w:eastAsia="宋体" w:cs="宋体"/>
                <w:b w:val="0"/>
                <w:i w:val="0"/>
                <w:caps w:val="0"/>
                <w:color w:val="000000"/>
                <w:spacing w:val="0"/>
                <w:w w:val="100"/>
                <w:kern w:val="0"/>
                <w:sz w:val="21"/>
                <w:szCs w:val="21"/>
              </w:rPr>
            </w:pPr>
            <w:r>
              <w:rPr>
                <w:rFonts w:hint="eastAsia" w:ascii="宋体" w:hAnsi="宋体" w:eastAsia="宋体" w:cs="宋体"/>
                <w:b w:val="0"/>
                <w:i w:val="0"/>
                <w:caps w:val="0"/>
                <w:color w:val="000000"/>
                <w:spacing w:val="0"/>
                <w:w w:val="100"/>
                <w:kern w:val="0"/>
                <w:sz w:val="21"/>
                <w:szCs w:val="21"/>
              </w:rPr>
              <w:t>1</w:t>
            </w:r>
          </w:p>
        </w:tc>
        <w:tc>
          <w:tcPr>
            <w:tcW w:w="5112" w:type="dxa"/>
            <w:tcBorders>
              <w:top w:val="single" w:color="auto" w:sz="4" w:space="0"/>
              <w:left w:val="single" w:color="auto" w:sz="4" w:space="0"/>
              <w:bottom w:val="single" w:color="auto" w:sz="4" w:space="0"/>
              <w:right w:val="single" w:color="auto" w:sz="4" w:space="0"/>
            </w:tcBorders>
            <w:noWrap w:val="0"/>
            <w:vAlign w:val="top"/>
          </w:tcPr>
          <w:p>
            <w:pPr>
              <w:snapToGrid w:val="0"/>
              <w:spacing w:before="0" w:beforeAutospacing="0" w:after="0" w:afterAutospacing="0" w:line="240" w:lineRule="auto"/>
              <w:jc w:val="left"/>
              <w:textAlignment w:val="baseline"/>
              <w:rPr>
                <w:rFonts w:hint="eastAsia"/>
                <w:b w:val="0"/>
                <w:i w:val="0"/>
                <w:caps w:val="0"/>
                <w:color w:val="000000"/>
                <w:spacing w:val="0"/>
                <w:w w:val="100"/>
                <w:sz w:val="21"/>
                <w:szCs w:val="21"/>
                <w:lang w:eastAsia="zh-CN"/>
              </w:rPr>
            </w:pPr>
            <w:r>
              <w:rPr>
                <w:rFonts w:hint="eastAsia"/>
                <w:b w:val="0"/>
                <w:i w:val="0"/>
                <w:caps w:val="0"/>
                <w:color w:val="000000"/>
                <w:spacing w:val="0"/>
                <w:w w:val="100"/>
                <w:sz w:val="21"/>
                <w:szCs w:val="21"/>
              </w:rPr>
              <w:t>★1.仅采用一个反应管，一次反应完成嗜肺军团菌核酸的定性检测，适用于嗜肺军团菌 2022 识别网考核方案需求。</w:t>
            </w:r>
          </w:p>
          <w:p>
            <w:pPr>
              <w:snapToGrid w:val="0"/>
              <w:spacing w:before="0" w:beforeAutospacing="0" w:after="0" w:afterAutospacing="0" w:line="240" w:lineRule="auto"/>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★2.检测性能：灵敏度≤500copies/ml，与其他呼吸道致病菌无交叉反应。</w:t>
            </w:r>
          </w:p>
          <w:p>
            <w:pPr>
              <w:numPr>
                <w:ilvl w:val="0"/>
                <w:numId w:val="5"/>
              </w:numPr>
              <w:snapToGrid w:val="0"/>
              <w:spacing w:before="0" w:beforeAutospacing="0" w:after="0" w:afterAutospacing="0" w:line="240" w:lineRule="auto"/>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从临床标本、环境样品及保存的菌种经平板划线培养获得的纯培养物或单菌落提取的DNA 核酸样品。</w:t>
            </w:r>
          </w:p>
          <w:p>
            <w:pPr>
              <w:numPr>
                <w:ilvl w:val="0"/>
                <w:numId w:val="5"/>
              </w:numPr>
              <w:snapToGrid w:val="0"/>
              <w:spacing w:before="0" w:beforeAutospacing="0" w:after="0" w:afterAutospacing="0" w:line="240" w:lineRule="auto"/>
              <w:ind w:left="0" w:leftChars="0" w:firstLine="0" w:firstLine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到货有效期至少 10 个月；50T/盒</w:t>
            </w:r>
          </w:p>
          <w:p>
            <w:pPr>
              <w:numPr>
                <w:ilvl w:val="0"/>
                <w:numId w:val="5"/>
              </w:numPr>
              <w:snapToGrid w:val="0"/>
              <w:spacing w:before="0" w:beforeAutospacing="0" w:after="0" w:afterAutospacing="0" w:line="240" w:lineRule="auto"/>
              <w:ind w:left="0" w:leftChars="0" w:firstLine="0" w:firstLine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质量控制：含有阳性对照，便于结果判定。</w:t>
            </w:r>
          </w:p>
          <w:p>
            <w:pPr>
              <w:numPr>
                <w:ilvl w:val="0"/>
                <w:numId w:val="5"/>
              </w:numPr>
              <w:snapToGrid w:val="0"/>
              <w:spacing w:before="0" w:beforeAutospacing="0" w:after="0" w:afterAutospacing="0" w:line="240" w:lineRule="auto"/>
              <w:ind w:left="0" w:leftChars="0" w:firstLine="0" w:firstLine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同时可提供水剂试剂和冻干粉检测试剂，以及预分装试剂供实验选择。</w:t>
            </w:r>
          </w:p>
          <w:p>
            <w:pPr>
              <w:numPr>
                <w:ilvl w:val="0"/>
                <w:numId w:val="5"/>
              </w:numPr>
              <w:snapToGrid w:val="0"/>
              <w:spacing w:before="0" w:beforeAutospacing="0" w:after="0" w:afterAutospacing="0" w:line="240" w:lineRule="auto"/>
              <w:ind w:left="0" w:leftChars="0" w:firstLine="0" w:firstLine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荧光RT-PCR 反应程序相同。</w:t>
            </w:r>
          </w:p>
          <w:p>
            <w:pPr>
              <w:snapToGrid w:val="0"/>
              <w:spacing w:before="0" w:beforeAutospacing="0" w:after="0" w:afterAutospacing="0" w:line="240" w:lineRule="auto"/>
              <w:ind w:left="0" w:left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★8.反应体系：≤20μL。</w:t>
            </w:r>
          </w:p>
          <w:p>
            <w:pPr>
              <w:snapToGrid w:val="0"/>
              <w:spacing w:before="0" w:beforeAutospacing="0" w:after="0" w:afterAutospacing="0" w:line="240" w:lineRule="auto"/>
              <w:ind w:left="0" w:left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rPr>
              <w:t>9.适用于常规的ABI7500,Q5,罗氏480 等仪器。</w:t>
            </w:r>
          </w:p>
        </w:tc>
      </w:tr>
      <w:tr>
        <w:tblPrEx>
          <w:tblCellMar>
            <w:top w:w="0" w:type="dxa"/>
            <w:left w:w="108" w:type="dxa"/>
            <w:bottom w:w="0" w:type="dxa"/>
            <w:right w:w="108" w:type="dxa"/>
          </w:tblCellMar>
        </w:tblPrEx>
        <w:trPr>
          <w:trHeight w:val="497" w:hRule="atLeast"/>
        </w:trPr>
        <w:tc>
          <w:tcPr>
            <w:tcW w:w="539" w:type="dxa"/>
            <w:tcBorders>
              <w:top w:val="single" w:color="auto" w:sz="4" w:space="0"/>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hint="eastAsia"/>
                <w:b w:val="0"/>
                <w:i w:val="0"/>
                <w:caps w:val="0"/>
                <w:color w:val="000000"/>
                <w:spacing w:val="0"/>
                <w:w w:val="100"/>
                <w:kern w:val="0"/>
                <w:sz w:val="21"/>
                <w:szCs w:val="21"/>
                <w:lang w:val="en-US" w:eastAsia="zh-CN"/>
              </w:rPr>
            </w:pPr>
            <w:r>
              <w:rPr>
                <w:rFonts w:hint="eastAsia"/>
                <w:b w:val="0"/>
                <w:i w:val="0"/>
                <w:caps w:val="0"/>
                <w:color w:val="000000"/>
                <w:spacing w:val="0"/>
                <w:w w:val="100"/>
                <w:kern w:val="0"/>
                <w:sz w:val="21"/>
                <w:szCs w:val="21"/>
                <w:lang w:val="en-US" w:eastAsia="zh-CN"/>
              </w:rPr>
              <w:t>9</w:t>
            </w:r>
          </w:p>
        </w:tc>
        <w:tc>
          <w:tcPr>
            <w:tcW w:w="1090" w:type="dxa"/>
            <w:tcBorders>
              <w:top w:val="single" w:color="auto" w:sz="4" w:space="0"/>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hint="eastAsia"/>
                <w:b w:val="0"/>
                <w:i w:val="0"/>
                <w:caps w:val="0"/>
                <w:color w:val="000000"/>
                <w:spacing w:val="0"/>
                <w:w w:val="100"/>
                <w:kern w:val="0"/>
                <w:sz w:val="21"/>
                <w:szCs w:val="21"/>
                <w:lang w:val="en-US" w:eastAsia="zh-CN"/>
              </w:rPr>
            </w:pPr>
            <w:r>
              <w:rPr>
                <w:rFonts w:hint="eastAsia"/>
                <w:b w:val="0"/>
                <w:i w:val="0"/>
                <w:caps w:val="0"/>
                <w:color w:val="000000"/>
                <w:spacing w:val="0"/>
                <w:w w:val="100"/>
                <w:kern w:val="0"/>
                <w:sz w:val="21"/>
                <w:szCs w:val="21"/>
                <w:lang w:val="en-US" w:eastAsia="zh-CN"/>
              </w:rPr>
              <w:t>核酸提取试剂盒</w:t>
            </w:r>
          </w:p>
        </w:tc>
        <w:tc>
          <w:tcPr>
            <w:tcW w:w="994" w:type="dxa"/>
            <w:tcBorders>
              <w:top w:val="single" w:color="auto" w:sz="4" w:space="0"/>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hint="eastAsia"/>
                <w:b w:val="0"/>
                <w:i w:val="0"/>
                <w:caps w:val="0"/>
                <w:color w:val="000000"/>
                <w:spacing w:val="0"/>
                <w:w w:val="100"/>
                <w:kern w:val="0"/>
                <w:sz w:val="21"/>
                <w:szCs w:val="21"/>
              </w:rPr>
            </w:pPr>
            <w:r>
              <w:rPr>
                <w:rFonts w:hint="eastAsia"/>
                <w:b w:val="0"/>
                <w:i w:val="0"/>
                <w:caps w:val="0"/>
                <w:color w:val="000000"/>
                <w:spacing w:val="0"/>
                <w:w w:val="100"/>
                <w:kern w:val="0"/>
                <w:sz w:val="21"/>
                <w:szCs w:val="21"/>
                <w:lang w:val="en-US" w:eastAsia="zh-CN"/>
              </w:rPr>
              <w:t>48</w:t>
            </w:r>
            <w:r>
              <w:rPr>
                <w:rFonts w:hint="eastAsia"/>
                <w:b w:val="0"/>
                <w:i w:val="0"/>
                <w:caps w:val="0"/>
                <w:color w:val="000000"/>
                <w:spacing w:val="0"/>
                <w:w w:val="100"/>
                <w:kern w:val="0"/>
                <w:sz w:val="21"/>
                <w:szCs w:val="21"/>
              </w:rPr>
              <w:t>T/盒</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hint="eastAsia"/>
                <w:b w:val="0"/>
                <w:i w:val="0"/>
                <w:caps w:val="0"/>
                <w:color w:val="000000"/>
                <w:spacing w:val="0"/>
                <w:w w:val="100"/>
                <w:kern w:val="0"/>
                <w:sz w:val="21"/>
                <w:szCs w:val="21"/>
                <w:lang w:val="en-US" w:eastAsia="zh-CN" w:bidi="ar-SA"/>
              </w:rPr>
            </w:pPr>
            <w:r>
              <w:rPr>
                <w:rFonts w:hint="eastAsia"/>
                <w:b w:val="0"/>
                <w:i w:val="0"/>
                <w:caps w:val="0"/>
                <w:color w:val="000000"/>
                <w:spacing w:val="0"/>
                <w:w w:val="100"/>
                <w:kern w:val="0"/>
                <w:sz w:val="21"/>
                <w:szCs w:val="21"/>
              </w:rPr>
              <w:t>盒</w:t>
            </w:r>
          </w:p>
        </w:tc>
        <w:tc>
          <w:tcPr>
            <w:tcW w:w="650" w:type="dxa"/>
            <w:tcBorders>
              <w:top w:val="single" w:color="auto" w:sz="4" w:space="0"/>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hint="eastAsia"/>
                <w:b w:val="0"/>
                <w:i w:val="0"/>
                <w:caps w:val="0"/>
                <w:color w:val="000000"/>
                <w:spacing w:val="0"/>
                <w:w w:val="100"/>
                <w:kern w:val="0"/>
                <w:sz w:val="21"/>
                <w:szCs w:val="21"/>
                <w:lang w:val="en-US" w:eastAsia="zh-CN"/>
              </w:rPr>
            </w:pPr>
            <w:r>
              <w:rPr>
                <w:rFonts w:hint="eastAsia"/>
                <w:b w:val="0"/>
                <w:i w:val="0"/>
                <w:caps w:val="0"/>
                <w:color w:val="000000"/>
                <w:spacing w:val="0"/>
                <w:w w:val="100"/>
                <w:kern w:val="0"/>
                <w:sz w:val="21"/>
                <w:szCs w:val="21"/>
              </w:rPr>
              <w:t>1</w:t>
            </w:r>
          </w:p>
        </w:tc>
        <w:tc>
          <w:tcPr>
            <w:tcW w:w="5112" w:type="dxa"/>
            <w:tcBorders>
              <w:top w:val="single" w:color="auto" w:sz="4" w:space="0"/>
              <w:left w:val="single" w:color="auto" w:sz="4" w:space="0"/>
              <w:bottom w:val="single" w:color="auto" w:sz="4" w:space="0"/>
              <w:right w:val="single" w:color="auto" w:sz="4" w:space="0"/>
            </w:tcBorders>
            <w:noWrap w:val="0"/>
            <w:vAlign w:val="top"/>
          </w:tcPr>
          <w:p>
            <w:pPr>
              <w:snapToGrid w:val="0"/>
              <w:spacing w:before="0" w:beforeAutospacing="0" w:after="0" w:afterAutospacing="0" w:line="240" w:lineRule="auto"/>
              <w:ind w:left="0" w:leftChars="0"/>
              <w:jc w:val="left"/>
              <w:textAlignment w:val="baseline"/>
              <w:rPr>
                <w:rFonts w:hint="eastAsia"/>
                <w:b w:val="0"/>
                <w:i w:val="0"/>
                <w:caps w:val="0"/>
                <w:color w:val="000000"/>
                <w:spacing w:val="0"/>
                <w:w w:val="100"/>
                <w:sz w:val="21"/>
                <w:szCs w:val="21"/>
                <w:lang w:val="en-US" w:eastAsia="zh-CN"/>
              </w:rPr>
            </w:pPr>
            <w:r>
              <w:rPr>
                <w:rFonts w:hint="eastAsia"/>
                <w:b w:val="0"/>
                <w:i w:val="0"/>
                <w:caps w:val="0"/>
                <w:color w:val="000000"/>
                <w:spacing w:val="0"/>
                <w:w w:val="100"/>
                <w:sz w:val="21"/>
                <w:szCs w:val="21"/>
                <w:lang w:val="en-US" w:eastAsia="zh-CN"/>
              </w:rPr>
              <w:t>★1.取得医疗医疗器械注册注册证或备案证。</w:t>
            </w:r>
          </w:p>
          <w:p>
            <w:pPr>
              <w:snapToGrid w:val="0"/>
              <w:spacing w:before="0" w:beforeAutospacing="0" w:after="0" w:afterAutospacing="0" w:line="240" w:lineRule="auto"/>
              <w:ind w:left="0" w:left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lang w:val="en-US" w:eastAsia="zh-CN"/>
              </w:rPr>
              <w:t>2.适用于从新鲜或冷冻的血浆、血清、无细胞体液、 培养物、拭子、尿液、痰液、肺泡灌洗液等样本中提取病原微 生物核酸。</w:t>
            </w:r>
          </w:p>
          <w:p>
            <w:pPr>
              <w:snapToGrid w:val="0"/>
              <w:spacing w:before="0" w:beforeAutospacing="0" w:after="0" w:afterAutospacing="0" w:line="240" w:lineRule="auto"/>
              <w:ind w:left="0" w:left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lang w:val="en-US" w:eastAsia="zh-CN"/>
              </w:rPr>
              <w:t>3.无需使用苯酚、氯仿等有机溶剂抽提，操作简单。</w:t>
            </w:r>
          </w:p>
          <w:p>
            <w:pPr>
              <w:snapToGrid w:val="0"/>
              <w:spacing w:before="0" w:beforeAutospacing="0" w:after="0" w:afterAutospacing="0" w:line="240" w:lineRule="auto"/>
              <w:ind w:left="0" w:left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lang w:val="en-US" w:eastAsia="zh-CN"/>
              </w:rPr>
              <w:t>4.采用缓冲体系使裂解液中的核酸高效特异地结合在硅胶质吸附柱上，PCR 和酶反应的抑制剂以及残留的杂质可通过两步有效的漂洗步骤有效去除，最后使用低盐缓冲 液或水洗脱，即可获得高纯度的核酸。</w:t>
            </w:r>
          </w:p>
          <w:p>
            <w:pPr>
              <w:snapToGrid w:val="0"/>
              <w:spacing w:before="0" w:beforeAutospacing="0" w:after="0" w:afterAutospacing="0" w:line="240" w:lineRule="auto"/>
              <w:ind w:left="0" w:leftChars="0"/>
              <w:jc w:val="left"/>
              <w:textAlignment w:val="baseline"/>
              <w:rPr>
                <w:rFonts w:hint="eastAsia"/>
                <w:b w:val="0"/>
                <w:i w:val="0"/>
                <w:caps w:val="0"/>
                <w:color w:val="000000"/>
                <w:spacing w:val="0"/>
                <w:w w:val="100"/>
                <w:sz w:val="21"/>
                <w:szCs w:val="21"/>
              </w:rPr>
            </w:pPr>
            <w:r>
              <w:rPr>
                <w:rFonts w:hint="eastAsia"/>
                <w:b w:val="0"/>
                <w:i w:val="0"/>
                <w:caps w:val="0"/>
                <w:color w:val="000000"/>
                <w:spacing w:val="0"/>
                <w:w w:val="100"/>
                <w:sz w:val="21"/>
                <w:szCs w:val="21"/>
                <w:lang w:val="en-US" w:eastAsia="zh-CN"/>
              </w:rPr>
              <w:t>5.纯化的核酸不含蛋白、 核酸酶和其他杂质，可直接用于 PCR、RT-PCR、Real-Time PCR、印迹实验等。</w:t>
            </w:r>
          </w:p>
          <w:p>
            <w:pPr>
              <w:snapToGrid w:val="0"/>
              <w:spacing w:before="0" w:beforeAutospacing="0" w:after="0" w:afterAutospacing="0" w:line="240" w:lineRule="auto"/>
              <w:ind w:left="0" w:leftChars="0"/>
              <w:jc w:val="left"/>
              <w:textAlignment w:val="baseline"/>
              <w:rPr>
                <w:rFonts w:hint="eastAsia"/>
                <w:b w:val="0"/>
                <w:i w:val="0"/>
                <w:caps w:val="0"/>
                <w:color w:val="000000"/>
                <w:spacing w:val="0"/>
                <w:w w:val="100"/>
                <w:kern w:val="0"/>
                <w:sz w:val="21"/>
                <w:szCs w:val="21"/>
                <w:lang w:val="en-US" w:eastAsia="zh-CN"/>
              </w:rPr>
            </w:pPr>
            <w:r>
              <w:rPr>
                <w:rFonts w:hint="eastAsia"/>
                <w:b w:val="0"/>
                <w:i w:val="0"/>
                <w:caps w:val="0"/>
                <w:color w:val="000000"/>
                <w:spacing w:val="0"/>
                <w:w w:val="100"/>
                <w:sz w:val="21"/>
                <w:szCs w:val="21"/>
                <w:lang w:val="en-US" w:eastAsia="zh-CN"/>
              </w:rPr>
              <w:t>6.投标单位需取得医疗器械经营许可证书</w:t>
            </w:r>
          </w:p>
        </w:tc>
      </w:tr>
      <w:tr>
        <w:tblPrEx>
          <w:tblCellMar>
            <w:top w:w="0" w:type="dxa"/>
            <w:left w:w="108" w:type="dxa"/>
            <w:bottom w:w="0" w:type="dxa"/>
            <w:right w:w="108" w:type="dxa"/>
          </w:tblCellMar>
        </w:tblPrEx>
        <w:trPr>
          <w:trHeight w:val="497" w:hRule="atLeast"/>
        </w:trPr>
        <w:tc>
          <w:tcPr>
            <w:tcW w:w="539" w:type="dxa"/>
            <w:tcBorders>
              <w:top w:val="single" w:color="auto" w:sz="4" w:space="0"/>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hint="eastAsia"/>
                <w:b w:val="0"/>
                <w:i w:val="0"/>
                <w:caps w:val="0"/>
                <w:color w:val="000000"/>
                <w:spacing w:val="0"/>
                <w:w w:val="100"/>
                <w:kern w:val="0"/>
                <w:sz w:val="22"/>
                <w:lang w:val="en-US" w:eastAsia="zh-CN"/>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hint="eastAsia"/>
                <w:b w:val="0"/>
                <w:i w:val="0"/>
                <w:caps w:val="0"/>
                <w:color w:val="000000"/>
                <w:spacing w:val="0"/>
                <w:w w:val="100"/>
                <w:kern w:val="0"/>
                <w:sz w:val="22"/>
                <w:lang w:val="en-US" w:eastAsia="zh-CN"/>
              </w:rPr>
            </w:pPr>
          </w:p>
        </w:tc>
        <w:tc>
          <w:tcPr>
            <w:tcW w:w="994" w:type="dxa"/>
            <w:tcBorders>
              <w:top w:val="single" w:color="auto" w:sz="4" w:space="0"/>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hint="eastAsia"/>
                <w:b w:val="0"/>
                <w:i w:val="0"/>
                <w:caps w:val="0"/>
                <w:color w:val="000000"/>
                <w:spacing w:val="0"/>
                <w:w w:val="100"/>
                <w:kern w:val="0"/>
                <w:sz w:val="22"/>
                <w:lang w:val="en-US" w:eastAsia="zh-CN"/>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hint="eastAsia"/>
                <w:b w:val="0"/>
                <w:i w:val="0"/>
                <w:caps w:val="0"/>
                <w:color w:val="000000"/>
                <w:spacing w:val="0"/>
                <w:w w:val="100"/>
                <w:kern w:val="0"/>
                <w:sz w:val="22"/>
              </w:rPr>
            </w:pPr>
          </w:p>
        </w:tc>
        <w:tc>
          <w:tcPr>
            <w:tcW w:w="650" w:type="dxa"/>
            <w:tcBorders>
              <w:top w:val="single" w:color="auto" w:sz="4" w:space="0"/>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hint="eastAsia"/>
                <w:b w:val="0"/>
                <w:i w:val="0"/>
                <w:caps w:val="0"/>
                <w:color w:val="000000"/>
                <w:spacing w:val="0"/>
                <w:w w:val="100"/>
                <w:kern w:val="0"/>
                <w:sz w:val="22"/>
              </w:rPr>
            </w:pPr>
          </w:p>
        </w:tc>
        <w:tc>
          <w:tcPr>
            <w:tcW w:w="5112" w:type="dxa"/>
            <w:tcBorders>
              <w:top w:val="single" w:color="auto" w:sz="4" w:space="0"/>
              <w:left w:val="single" w:color="auto" w:sz="4" w:space="0"/>
              <w:bottom w:val="single" w:color="auto" w:sz="4" w:space="0"/>
              <w:right w:val="single" w:color="auto" w:sz="4" w:space="0"/>
            </w:tcBorders>
            <w:noWrap w:val="0"/>
            <w:vAlign w:val="top"/>
          </w:tcPr>
          <w:p>
            <w:pPr>
              <w:widowControl/>
              <w:snapToGrid w:val="0"/>
              <w:spacing w:before="0" w:beforeAutospacing="0" w:after="0" w:afterAutospacing="0" w:line="240" w:lineRule="auto"/>
              <w:jc w:val="left"/>
              <w:textAlignment w:val="baseline"/>
              <w:rPr>
                <w:rFonts w:hint="eastAsia"/>
                <w:b w:val="0"/>
                <w:i w:val="0"/>
                <w:caps w:val="0"/>
                <w:color w:val="000000"/>
                <w:spacing w:val="0"/>
                <w:w w:val="100"/>
                <w:kern w:val="0"/>
                <w:sz w:val="22"/>
                <w:lang w:val="en-US" w:eastAsia="zh-CN"/>
              </w:rPr>
            </w:pPr>
          </w:p>
        </w:tc>
      </w:tr>
    </w:tbl>
    <w:p>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微软简标宋">
    <w:altName w:val="宋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FA73E8"/>
    <w:multiLevelType w:val="singleLevel"/>
    <w:tmpl w:val="A3FA73E8"/>
    <w:lvl w:ilvl="0" w:tentative="0">
      <w:start w:val="3"/>
      <w:numFmt w:val="decimal"/>
      <w:lvlText w:val="%1."/>
      <w:lvlJc w:val="left"/>
      <w:pPr>
        <w:tabs>
          <w:tab w:val="left" w:pos="312"/>
        </w:tabs>
      </w:pPr>
    </w:lvl>
  </w:abstractNum>
  <w:abstractNum w:abstractNumId="1">
    <w:nsid w:val="F32C9B29"/>
    <w:multiLevelType w:val="singleLevel"/>
    <w:tmpl w:val="F32C9B29"/>
    <w:lvl w:ilvl="0" w:tentative="0">
      <w:start w:val="3"/>
      <w:numFmt w:val="decimal"/>
      <w:lvlText w:val="%1."/>
      <w:lvlJc w:val="left"/>
      <w:pPr>
        <w:tabs>
          <w:tab w:val="left" w:pos="312"/>
        </w:tabs>
      </w:pPr>
    </w:lvl>
  </w:abstractNum>
  <w:abstractNum w:abstractNumId="2">
    <w:nsid w:val="00000004"/>
    <w:multiLevelType w:val="multilevel"/>
    <w:tmpl w:val="00000004"/>
    <w:lvl w:ilvl="0" w:tentative="0">
      <w:start w:val="1"/>
      <w:numFmt w:val="chineseCountingThousand"/>
      <w:pStyle w:val="5"/>
      <w:lvlText w:val="第%1章"/>
      <w:lvlJc w:val="left"/>
      <w:pPr>
        <w:ind w:left="0" w:firstLine="0"/>
      </w:pPr>
      <w:rPr>
        <w:rFonts w:hint="eastAsia"/>
      </w:rPr>
    </w:lvl>
    <w:lvl w:ilvl="1" w:tentative="0">
      <w:start w:val="1"/>
      <w:numFmt w:val="chineseCountingThousand"/>
      <w:lvlText w:val="%2."/>
      <w:lvlJc w:val="left"/>
      <w:pPr>
        <w:ind w:left="1984" w:firstLine="0"/>
      </w:pPr>
      <w:rPr>
        <w:rFonts w:hint="eastAsia"/>
      </w:rPr>
    </w:lvl>
    <w:lvl w:ilvl="2" w:tentative="0">
      <w:start w:val="1"/>
      <w:numFmt w:val="decimal"/>
      <w:isLgl/>
      <w:lvlText w:val="%2.%3"/>
      <w:lvlJc w:val="left"/>
      <w:pPr>
        <w:ind w:left="0" w:firstLine="0"/>
      </w:pPr>
      <w:rPr>
        <w:rFonts w:hint="eastAsia"/>
      </w:rPr>
    </w:lvl>
    <w:lvl w:ilvl="3" w:tentative="0">
      <w:start w:val="1"/>
      <w:numFmt w:val="decimal"/>
      <w:isLgl/>
      <w:lvlText w:val="%2.%3.%4"/>
      <w:lvlJc w:val="left"/>
      <w:pPr>
        <w:ind w:left="1984" w:hanging="708"/>
      </w:pPr>
      <w:rPr>
        <w:rFonts w:hint="eastAsia"/>
      </w:rPr>
    </w:lvl>
    <w:lvl w:ilvl="4" w:tentative="0">
      <w:start w:val="1"/>
      <w:numFmt w:val="decimal"/>
      <w:isLgl/>
      <w:lvlText w:val="%2.%3.%4.%5"/>
      <w:lvlJc w:val="left"/>
      <w:pPr>
        <w:ind w:left="0" w:firstLine="0"/>
      </w:pPr>
      <w:rPr>
        <w:rFonts w:hint="eastAsia"/>
      </w:rPr>
    </w:lvl>
    <w:lvl w:ilvl="5" w:tentative="0">
      <w:start w:val="1"/>
      <w:numFmt w:val="decimal"/>
      <w:isLgl/>
      <w:lvlText w:val="%2.%3.%4.%5.%6"/>
      <w:lvlJc w:val="left"/>
      <w:pPr>
        <w:ind w:left="0" w:firstLine="0"/>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240176AE"/>
    <w:multiLevelType w:val="singleLevel"/>
    <w:tmpl w:val="240176AE"/>
    <w:lvl w:ilvl="0" w:tentative="0">
      <w:start w:val="3"/>
      <w:numFmt w:val="decimal"/>
      <w:lvlText w:val="%1."/>
      <w:lvlJc w:val="left"/>
      <w:pPr>
        <w:tabs>
          <w:tab w:val="left" w:pos="312"/>
        </w:tabs>
      </w:pPr>
    </w:lvl>
  </w:abstractNum>
  <w:abstractNum w:abstractNumId="4">
    <w:nsid w:val="7630A101"/>
    <w:multiLevelType w:val="singleLevel"/>
    <w:tmpl w:val="7630A101"/>
    <w:lvl w:ilvl="0" w:tentative="0">
      <w:start w:val="1"/>
      <w:numFmt w:val="decimal"/>
      <w:suff w:val="space"/>
      <w:lvlText w:val="%1."/>
      <w:lvlJc w:val="left"/>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3MWE1MjUzMzJhOWRjZTVkOGUyMTdiOThjNWZmMmYifQ=="/>
  </w:docVars>
  <w:rsids>
    <w:rsidRoot w:val="00000000"/>
    <w:rsid w:val="014001AC"/>
    <w:rsid w:val="13BF1404"/>
    <w:rsid w:val="156815D9"/>
    <w:rsid w:val="19C71013"/>
    <w:rsid w:val="35C43309"/>
    <w:rsid w:val="45324ED2"/>
    <w:rsid w:val="59064C1D"/>
    <w:rsid w:val="5924450B"/>
    <w:rsid w:val="7DFF3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qFormat/>
    <w:uiPriority w:val="0"/>
    <w:pPr>
      <w:keepNext/>
      <w:keepLines/>
      <w:numPr>
        <w:ilvl w:val="0"/>
        <w:numId w:val="1"/>
      </w:numPr>
      <w:spacing w:line="360" w:lineRule="auto"/>
      <w:jc w:val="center"/>
      <w:outlineLvl w:val="0"/>
    </w:pPr>
    <w:rPr>
      <w:rFonts w:ascii="Times New Roman" w:hAnsi="Times New Roman" w:eastAsia="宋体" w:cs="Times New Roman"/>
      <w:b/>
      <w:bCs/>
      <w:kern w:val="44"/>
      <w:sz w:val="30"/>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adjustRightInd w:val="0"/>
      <w:snapToGrid w:val="0"/>
      <w:spacing w:after="120" w:line="360" w:lineRule="auto"/>
      <w:ind w:left="420" w:leftChars="200" w:firstLine="420" w:firstLineChars="200"/>
    </w:pPr>
    <w:rPr>
      <w:rFonts w:ascii="Times New Roman" w:hAnsi="Times New Roman" w:eastAsia="宋体" w:cs="Times New Roman"/>
      <w:sz w:val="24"/>
      <w:szCs w:val="24"/>
    </w:rPr>
  </w:style>
  <w:style w:type="paragraph" w:styleId="3">
    <w:name w:val="Body Text Indent"/>
    <w:basedOn w:val="1"/>
    <w:next w:val="4"/>
    <w:qFormat/>
    <w:uiPriority w:val="0"/>
    <w:pPr>
      <w:ind w:firstLine="645"/>
    </w:pPr>
    <w:rPr>
      <w:rFonts w:ascii="楷体_GB2312" w:hAnsi="Times New Roman" w:eastAsia="楷体_GB2312" w:cs="Times New Roman"/>
      <w:sz w:val="32"/>
    </w:rPr>
  </w:style>
  <w:style w:type="paragraph" w:styleId="4">
    <w:name w:val="envelope return"/>
    <w:basedOn w:val="1"/>
    <w:next w:val="3"/>
    <w:qFormat/>
    <w:uiPriority w:val="0"/>
    <w:pPr>
      <w:adjustRightInd w:val="0"/>
      <w:snapToGrid w:val="0"/>
      <w:spacing w:line="360" w:lineRule="auto"/>
      <w:ind w:firstLine="200" w:firstLineChars="200"/>
    </w:pPr>
    <w:rPr>
      <w:rFonts w:ascii="Cambria" w:hAnsi="Cambria" w:eastAsia="宋体"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3409</Words>
  <Characters>4200</Characters>
  <Lines>0</Lines>
  <Paragraphs>0</Paragraphs>
  <TotalTime>1</TotalTime>
  <ScaleCrop>false</ScaleCrop>
  <LinksUpToDate>false</LinksUpToDate>
  <CharactersWithSpaces>4483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2022-07-27T07:01:00Z</dcterms:created>
  <dc:creator>Administrator</dc:creator>
  <cp:lastModifiedBy>NTKO</cp:lastModifiedBy>
  <dcterms:modified xsi:type="dcterms:W3CDTF">2022-11-09T08:09:50Z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85BCC4B735E0460CACD026822F265A93</vt:lpwstr>
  </property>
</Properties>
</file>