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numPr>
          <w:numId w:val="0"/>
        </w:numPr>
        <w:ind w:leftChars="0"/>
        <w:jc w:val="center"/>
        <w:rPr>
          <w:rFonts w:hint="eastAsia"/>
        </w:rPr>
      </w:pPr>
      <w:bookmarkStart w:id="0" w:name="_Toc2135"/>
      <w:r>
        <w:rPr>
          <w:rFonts w:hint="eastAsia"/>
        </w:rPr>
        <w:t>采购需求</w:t>
      </w:r>
      <w:bookmarkEnd w:id="0"/>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w:t>
      </w:r>
      <w:r>
        <w:rPr>
          <w:rFonts w:hint="eastAsia" w:ascii="宋体"/>
          <w:sz w:val="24"/>
          <w:szCs w:val="28"/>
          <w:lang w:eastAsia="zh-CN"/>
        </w:rPr>
        <w:t>货物</w:t>
      </w:r>
      <w:r>
        <w:rPr>
          <w:rFonts w:hint="eastAsia" w:ascii="宋体"/>
          <w:sz w:val="24"/>
          <w:szCs w:val="28"/>
        </w:rPr>
        <w:t>方案仅为参考，如无明确限制，投标供应商可以进行优化，提供满足采购人实际需要的更优（或者性能实质上不低于的）</w:t>
      </w:r>
      <w:r>
        <w:rPr>
          <w:rFonts w:hint="eastAsia" w:ascii="宋体"/>
          <w:sz w:val="24"/>
          <w:szCs w:val="28"/>
          <w:lang w:eastAsia="zh-CN"/>
        </w:rPr>
        <w:t>货物</w:t>
      </w:r>
      <w:r>
        <w:rPr>
          <w:rFonts w:hint="eastAsia" w:ascii="宋体"/>
          <w:sz w:val="24"/>
          <w:szCs w:val="28"/>
        </w:rPr>
        <w:t>方案，</w:t>
      </w:r>
      <w:r>
        <w:rPr>
          <w:rFonts w:hint="eastAsia" w:ascii="宋体"/>
          <w:sz w:val="24"/>
        </w:rPr>
        <w:t>且此方案须经评标委员会评审认可；</w:t>
      </w:r>
      <w:r>
        <w:rPr>
          <w:rFonts w:hint="eastAsia" w:ascii="宋体"/>
          <w:sz w:val="24"/>
        </w:rPr>
        <w:cr/>
      </w:r>
      <w:r>
        <w:rPr>
          <w:rFonts w:hint="eastAsia" w:ascii="宋体"/>
          <w:sz w:val="24"/>
        </w:rPr>
        <w:t>2、</w:t>
      </w:r>
      <w:r>
        <w:rPr>
          <w:rFonts w:hint="eastAsia" w:ascii="宋体"/>
          <w:b/>
          <w:sz w:val="24"/>
        </w:rPr>
        <w:t>标</w:t>
      </w:r>
      <w:r>
        <w:rPr>
          <w:rFonts w:hint="eastAsia" w:ascii="宋体" w:hAnsi="宋体"/>
          <w:szCs w:val="21"/>
        </w:rPr>
        <w:t>★</w:t>
      </w:r>
      <w:r>
        <w:rPr>
          <w:rFonts w:hint="eastAsia" w:ascii="宋体"/>
          <w:b/>
          <w:sz w:val="24"/>
        </w:rPr>
        <w:t>设备技术参数不允许负偏离，如出现负偏离视为技术参数不响应，作无效标处理；未标</w:t>
      </w:r>
      <w:r>
        <w:rPr>
          <w:rFonts w:hint="eastAsia" w:ascii="宋体" w:hAnsi="宋体"/>
          <w:szCs w:val="21"/>
        </w:rPr>
        <w:t>★</w:t>
      </w:r>
      <w:r>
        <w:rPr>
          <w:rFonts w:hint="eastAsia" w:ascii="宋体"/>
          <w:b/>
          <w:sz w:val="24"/>
        </w:rPr>
        <w:t>技术参数允许偏离，但供应商应在投标文件中提出偏离说明，供评标委员会评审；</w:t>
      </w:r>
    </w:p>
    <w:p>
      <w:pPr>
        <w:spacing w:line="360" w:lineRule="auto"/>
        <w:rPr>
          <w:rFonts w:hint="eastAsia" w:ascii="宋体"/>
          <w:sz w:val="24"/>
          <w:szCs w:val="28"/>
        </w:rPr>
      </w:pPr>
      <w:r>
        <w:rPr>
          <w:rFonts w:hint="eastAsia" w:ascii="宋体"/>
          <w:sz w:val="24"/>
          <w:szCs w:val="28"/>
        </w:rPr>
        <w:t>3、投标供应商应当在投标文件中列出完成本项目并通过验收所需的所有各项</w:t>
      </w:r>
      <w:r>
        <w:rPr>
          <w:rFonts w:hint="eastAsia" w:ascii="宋体"/>
          <w:sz w:val="24"/>
          <w:szCs w:val="28"/>
          <w:lang w:eastAsia="zh-CN"/>
        </w:rPr>
        <w:t>货物</w:t>
      </w:r>
      <w:r>
        <w:rPr>
          <w:rFonts w:hint="eastAsia" w:ascii="宋体"/>
          <w:sz w:val="24"/>
          <w:szCs w:val="28"/>
        </w:rPr>
        <w:t>等明细表及全部费用。中标供应商必须确保整体通过采购人及有关主管部门验收,所发生的验收费用由中标供应商承担；投标供应商应自行勘察项目现场，如投标供应商因未及时勘察现场而导致的报价</w:t>
      </w:r>
      <w:bookmarkStart w:id="2" w:name="_GoBack"/>
      <w:bookmarkEnd w:id="2"/>
      <w:r>
        <w:rPr>
          <w:rFonts w:hint="eastAsia" w:ascii="宋体"/>
          <w:sz w:val="24"/>
          <w:szCs w:val="28"/>
        </w:rPr>
        <w:t>缺项漏项废标、或中标后无法完工，投标供应商自行承担一切后果；</w:t>
      </w:r>
    </w:p>
    <w:p>
      <w:pPr>
        <w:spacing w:line="360" w:lineRule="auto"/>
        <w:rPr>
          <w:rFonts w:hint="eastAsia" w:ascii="宋体"/>
          <w:sz w:val="24"/>
          <w:szCs w:val="28"/>
        </w:rPr>
      </w:pPr>
      <w:r>
        <w:rPr>
          <w:rFonts w:hint="eastAsia" w:ascii="宋体"/>
          <w:sz w:val="24"/>
        </w:rPr>
        <w:t>4</w:t>
      </w:r>
      <w:r>
        <w:rPr>
          <w:rFonts w:hint="eastAsia" w:ascii="宋体"/>
          <w:sz w:val="24"/>
          <w:szCs w:val="28"/>
        </w:rPr>
        <w:t>、如对本招标文件有任何疑问或澄清要求，请按本招标文件“投标供应商须知前附表”中约定方式联系</w:t>
      </w:r>
      <w:r>
        <w:rPr>
          <w:rFonts w:hint="eastAsia" w:ascii="宋体"/>
          <w:sz w:val="24"/>
          <w:szCs w:val="24"/>
          <w:u w:val="none"/>
          <w:lang w:val="en-US" w:eastAsia="zh-CN"/>
        </w:rPr>
        <w:t>采购人委托的代理机构</w:t>
      </w:r>
      <w:r>
        <w:rPr>
          <w:rFonts w:hint="eastAsia" w:ascii="宋体"/>
          <w:sz w:val="24"/>
          <w:szCs w:val="28"/>
        </w:rPr>
        <w:t>，或接受答疑截止时间前联系采购人，否则视同理解和接受，开标后</w:t>
      </w:r>
      <w:r>
        <w:rPr>
          <w:rFonts w:hint="eastAsia" w:ascii="宋体"/>
          <w:sz w:val="24"/>
          <w:szCs w:val="24"/>
          <w:u w:val="none"/>
          <w:lang w:val="en-US" w:eastAsia="zh-CN"/>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w:t>
      </w:r>
      <w:r>
        <w:rPr>
          <w:rFonts w:hint="eastAsia" w:ascii="宋体"/>
          <w:sz w:val="24"/>
          <w:szCs w:val="28"/>
          <w:lang w:val="en-US" w:eastAsia="zh-CN"/>
        </w:rPr>
        <w:t>求</w:t>
      </w:r>
      <w:r>
        <w:rPr>
          <w:rFonts w:hint="eastAsia" w:ascii="宋体"/>
          <w:sz w:val="24"/>
          <w:szCs w:val="28"/>
        </w:rPr>
        <w:t>如下：</w:t>
      </w:r>
    </w:p>
    <w:p>
      <w:pPr>
        <w:spacing w:line="360" w:lineRule="auto"/>
        <w:rPr>
          <w:rFonts w:hint="eastAsia" w:ascii="宋体" w:hAnsi="Times New Roman" w:eastAsia="宋体" w:cs="Times New Roman"/>
          <w:b/>
          <w:bCs/>
          <w:sz w:val="24"/>
          <w:szCs w:val="24"/>
          <w:u w:val="none"/>
          <w:lang w:val="en-US" w:eastAsia="zh-CN"/>
        </w:rPr>
      </w:pPr>
      <w:r>
        <w:rPr>
          <w:rFonts w:hint="eastAsia" w:ascii="宋体" w:hAnsi="Times New Roman" w:eastAsia="宋体" w:cs="Times New Roman"/>
          <w:b/>
          <w:bCs/>
          <w:sz w:val="24"/>
          <w:szCs w:val="24"/>
          <w:u w:val="none"/>
          <w:lang w:val="en-US" w:eastAsia="zh-CN"/>
        </w:rPr>
        <w:t>淮北市疾病预防控制中心微检科流感病毒等检测试剂采购项目采购需求：</w:t>
      </w:r>
    </w:p>
    <w:tbl>
      <w:tblPr>
        <w:tblStyle w:val="6"/>
        <w:tblW w:w="9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
        <w:gridCol w:w="1925"/>
        <w:gridCol w:w="721"/>
        <w:gridCol w:w="1000"/>
        <w:gridCol w:w="2766"/>
        <w:gridCol w:w="959"/>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0" w:type="dxa"/>
            <w:noWrap w:val="0"/>
            <w:vAlign w:val="center"/>
          </w:tcPr>
          <w:p>
            <w:pPr>
              <w:jc w:val="center"/>
              <w:rPr>
                <w:rFonts w:ascii="宋体" w:cs="Times New Roman"/>
              </w:rPr>
            </w:pPr>
            <w:r>
              <w:rPr>
                <w:rFonts w:hint="eastAsia" w:ascii="宋体" w:hAnsi="宋体" w:cs="宋体"/>
              </w:rPr>
              <w:t>序号</w:t>
            </w:r>
          </w:p>
        </w:tc>
        <w:tc>
          <w:tcPr>
            <w:tcW w:w="1925" w:type="dxa"/>
            <w:noWrap w:val="0"/>
            <w:vAlign w:val="center"/>
          </w:tcPr>
          <w:p>
            <w:pPr>
              <w:widowControl/>
              <w:jc w:val="center"/>
              <w:rPr>
                <w:rFonts w:ascii="宋体" w:cs="Times New Roman"/>
                <w:kern w:val="0"/>
              </w:rPr>
            </w:pPr>
            <w:r>
              <w:rPr>
                <w:rFonts w:hint="eastAsia" w:ascii="宋体" w:hAnsi="宋体" w:cs="宋体"/>
                <w:kern w:val="0"/>
              </w:rPr>
              <w:t>物资名称</w:t>
            </w:r>
          </w:p>
        </w:tc>
        <w:tc>
          <w:tcPr>
            <w:tcW w:w="721" w:type="dxa"/>
            <w:noWrap w:val="0"/>
            <w:vAlign w:val="center"/>
          </w:tcPr>
          <w:p>
            <w:pPr>
              <w:widowControl/>
              <w:jc w:val="center"/>
              <w:rPr>
                <w:rFonts w:ascii="宋体" w:cs="Times New Roman"/>
                <w:kern w:val="0"/>
              </w:rPr>
            </w:pPr>
            <w:r>
              <w:rPr>
                <w:rFonts w:hint="eastAsia" w:ascii="宋体" w:hAnsi="宋体" w:cs="宋体"/>
                <w:kern w:val="0"/>
              </w:rPr>
              <w:t>规格</w:t>
            </w:r>
          </w:p>
        </w:tc>
        <w:tc>
          <w:tcPr>
            <w:tcW w:w="1000" w:type="dxa"/>
            <w:noWrap w:val="0"/>
            <w:vAlign w:val="center"/>
          </w:tcPr>
          <w:p>
            <w:pPr>
              <w:widowControl/>
              <w:jc w:val="center"/>
              <w:rPr>
                <w:rFonts w:ascii="宋体" w:cs="Times New Roman"/>
                <w:kern w:val="0"/>
              </w:rPr>
            </w:pPr>
            <w:r>
              <w:rPr>
                <w:rFonts w:hint="eastAsia" w:ascii="宋体" w:hAnsi="宋体" w:cs="宋体"/>
                <w:kern w:val="0"/>
              </w:rPr>
              <w:t>数量</w:t>
            </w:r>
          </w:p>
        </w:tc>
        <w:tc>
          <w:tcPr>
            <w:tcW w:w="2766" w:type="dxa"/>
            <w:noWrap w:val="0"/>
            <w:vAlign w:val="center"/>
          </w:tcPr>
          <w:p>
            <w:pPr>
              <w:widowControl/>
              <w:jc w:val="center"/>
              <w:rPr>
                <w:rFonts w:ascii="宋体" w:cs="Times New Roman"/>
                <w:kern w:val="0"/>
              </w:rPr>
            </w:pPr>
            <w:r>
              <w:rPr>
                <w:rFonts w:hint="eastAsia" w:ascii="宋体" w:hAnsi="宋体" w:cs="宋体"/>
                <w:kern w:val="0"/>
              </w:rPr>
              <w:t>参数</w:t>
            </w:r>
          </w:p>
        </w:tc>
        <w:tc>
          <w:tcPr>
            <w:tcW w:w="959" w:type="dxa"/>
            <w:noWrap w:val="0"/>
            <w:vAlign w:val="center"/>
          </w:tcPr>
          <w:p>
            <w:pPr>
              <w:widowControl/>
              <w:jc w:val="center"/>
              <w:rPr>
                <w:rFonts w:ascii="宋体" w:cs="Times New Roman"/>
                <w:kern w:val="0"/>
              </w:rPr>
            </w:pPr>
            <w:r>
              <w:rPr>
                <w:rFonts w:hint="eastAsia" w:ascii="宋体" w:hAnsi="宋体" w:cs="宋体"/>
                <w:kern w:val="0"/>
              </w:rPr>
              <w:t>用途</w:t>
            </w:r>
          </w:p>
        </w:tc>
        <w:tc>
          <w:tcPr>
            <w:tcW w:w="1414" w:type="dxa"/>
            <w:noWrap w:val="0"/>
            <w:vAlign w:val="center"/>
          </w:tcPr>
          <w:p>
            <w:pPr>
              <w:widowControl/>
              <w:jc w:val="center"/>
              <w:rPr>
                <w:rFonts w:ascii="宋体" w:cs="Times New Roman"/>
                <w:kern w:val="0"/>
              </w:rPr>
            </w:pPr>
            <w:r>
              <w:rPr>
                <w:rFonts w:hint="eastAsia" w:ascii="宋体" w:hAnsi="宋体" w:cs="宋体"/>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0" w:type="dxa"/>
            <w:noWrap w:val="0"/>
            <w:vAlign w:val="center"/>
          </w:tcPr>
          <w:p>
            <w:pPr>
              <w:jc w:val="center"/>
              <w:rPr>
                <w:rFonts w:ascii="宋体" w:cs="宋体"/>
              </w:rPr>
            </w:pPr>
            <w:r>
              <w:rPr>
                <w:rFonts w:ascii="宋体" w:hAnsi="宋体" w:cs="宋体"/>
              </w:rPr>
              <w:t>1</w:t>
            </w:r>
          </w:p>
        </w:tc>
        <w:tc>
          <w:tcPr>
            <w:tcW w:w="1925" w:type="dxa"/>
            <w:noWrap w:val="0"/>
            <w:vAlign w:val="center"/>
          </w:tcPr>
          <w:p>
            <w:pPr>
              <w:keepNext w:val="0"/>
              <w:keepLines w:val="0"/>
              <w:widowControl/>
              <w:suppressLineNumbers w:val="0"/>
              <w:jc w:val="center"/>
              <w:textAlignment w:val="center"/>
              <w:rPr>
                <w:rFonts w:ascii="宋体" w:cs="Times New Roman"/>
                <w:kern w:val="0"/>
              </w:rPr>
            </w:pPr>
            <w:r>
              <w:rPr>
                <w:rFonts w:hint="eastAsia" w:ascii="宋体" w:hAnsi="宋体" w:eastAsia="宋体" w:cs="宋体"/>
                <w:i w:val="0"/>
                <w:iCs w:val="0"/>
                <w:color w:val="000000"/>
                <w:kern w:val="0"/>
                <w:sz w:val="24"/>
                <w:szCs w:val="24"/>
                <w:u w:val="none"/>
                <w:lang w:val="en-US" w:eastAsia="zh-CN" w:bidi="ar"/>
              </w:rPr>
              <w:t>甲型流感病毒核酸检测试剂盒</w:t>
            </w:r>
          </w:p>
        </w:tc>
        <w:tc>
          <w:tcPr>
            <w:tcW w:w="721" w:type="dxa"/>
            <w:noWrap w:val="0"/>
            <w:vAlign w:val="center"/>
          </w:tcPr>
          <w:p>
            <w:pPr>
              <w:keepNext w:val="0"/>
              <w:keepLines w:val="0"/>
              <w:widowControl/>
              <w:suppressLineNumbers w:val="0"/>
              <w:jc w:val="center"/>
              <w:textAlignment w:val="center"/>
              <w:rPr>
                <w:rFonts w:hint="default" w:ascii="宋体" w:cs="Times New Roman"/>
                <w:kern w:val="0"/>
                <w:lang w:val="en-US"/>
              </w:rPr>
            </w:pPr>
            <w:r>
              <w:rPr>
                <w:rFonts w:hint="eastAsia" w:ascii="宋体" w:hAnsi="宋体" w:eastAsia="宋体" w:cs="宋体"/>
                <w:i w:val="0"/>
                <w:iCs w:val="0"/>
                <w:color w:val="000000"/>
                <w:kern w:val="0"/>
                <w:sz w:val="18"/>
                <w:szCs w:val="18"/>
                <w:u w:val="none"/>
                <w:lang w:val="en-US" w:eastAsia="zh-CN" w:bidi="ar"/>
              </w:rPr>
              <w:t>≥24T</w:t>
            </w:r>
          </w:p>
        </w:tc>
        <w:tc>
          <w:tcPr>
            <w:tcW w:w="1000" w:type="dxa"/>
            <w:noWrap w:val="0"/>
            <w:vAlign w:val="center"/>
          </w:tcPr>
          <w:p>
            <w:pPr>
              <w:keepNext w:val="0"/>
              <w:keepLines w:val="0"/>
              <w:widowControl/>
              <w:suppressLineNumbers w:val="0"/>
              <w:jc w:val="left"/>
              <w:textAlignment w:val="center"/>
              <w:rPr>
                <w:rFonts w:hint="default" w:ascii="宋体" w:eastAsia="宋体" w:cs="Times New Roman"/>
                <w:kern w:val="0"/>
                <w:lang w:val="en-US" w:eastAsia="zh-CN"/>
              </w:rPr>
            </w:pPr>
            <w:r>
              <w:rPr>
                <w:rFonts w:hint="default" w:eastAsia="宋体" w:cs="Times New Roman"/>
                <w:kern w:val="0"/>
                <w:lang w:val="en-US" w:eastAsia="zh-CN"/>
              </w:rPr>
              <w:t>≥720人份</w:t>
            </w:r>
          </w:p>
        </w:tc>
        <w:tc>
          <w:tcPr>
            <w:tcW w:w="27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1、适用仪器包括ABI7500、ABI7300、LightCycler480等荧光定量PCR仪。</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2、灵敏度≥10^3copies/ml，与其他流感病毒不能有交叉反应。</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3、可从各种临床标本及病毒分离物中提取的RNA样品进行检测。</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4、有效期：≥9个月，（到货后有效期≥8个月）。</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5、荧光RT-PCR反应程序相同。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6、需要提供正规授权书。</w:t>
            </w:r>
          </w:p>
          <w:p>
            <w:pPr>
              <w:keepNext w:val="0"/>
              <w:keepLines w:val="0"/>
              <w:widowControl/>
              <w:suppressLineNumbers w:val="0"/>
              <w:jc w:val="left"/>
              <w:textAlignment w:val="center"/>
              <w:rPr>
                <w:rFonts w:ascii="宋体" w:cs="Times New Roman"/>
                <w:kern w:val="0"/>
              </w:rPr>
            </w:pPr>
            <w:r>
              <w:rPr>
                <w:rFonts w:hint="eastAsia" w:ascii="宋体" w:hAnsi="宋体" w:eastAsia="宋体" w:cs="宋体"/>
                <w:i w:val="0"/>
                <w:iCs w:val="0"/>
                <w:color w:val="000000"/>
                <w:kern w:val="0"/>
                <w:sz w:val="18"/>
                <w:szCs w:val="18"/>
                <w:u w:val="none"/>
                <w:lang w:val="en-US" w:eastAsia="zh-CN" w:bidi="ar"/>
              </w:rPr>
              <w:t>7、需要提供产品注册证。</w:t>
            </w:r>
          </w:p>
        </w:tc>
        <w:tc>
          <w:tcPr>
            <w:tcW w:w="959" w:type="dxa"/>
            <w:noWrap w:val="0"/>
            <w:vAlign w:val="center"/>
          </w:tcPr>
          <w:p>
            <w:pPr>
              <w:widowControl/>
              <w:jc w:val="center"/>
              <w:rPr>
                <w:rFonts w:ascii="宋体" w:cs="Times New Roman"/>
                <w:kern w:val="0"/>
              </w:rPr>
            </w:pPr>
            <w:r>
              <w:rPr>
                <w:rFonts w:hint="eastAsia" w:ascii="宋体" w:cs="宋体"/>
                <w:kern w:val="0"/>
              </w:rPr>
              <w:t>流感检测</w:t>
            </w:r>
          </w:p>
        </w:tc>
        <w:tc>
          <w:tcPr>
            <w:tcW w:w="1414" w:type="dxa"/>
            <w:noWrap w:val="0"/>
            <w:vAlign w:val="center"/>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Q5/Q7/Q7PRO</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0" w:type="dxa"/>
            <w:noWrap w:val="0"/>
            <w:vAlign w:val="center"/>
          </w:tcPr>
          <w:p>
            <w:pPr>
              <w:jc w:val="center"/>
              <w:rPr>
                <w:rFonts w:ascii="宋体" w:cs="宋体"/>
              </w:rPr>
            </w:pPr>
            <w:r>
              <w:rPr>
                <w:rFonts w:ascii="宋体" w:hAnsi="宋体" w:cs="宋体"/>
              </w:rPr>
              <w:t>2</w:t>
            </w:r>
          </w:p>
        </w:tc>
        <w:tc>
          <w:tcPr>
            <w:tcW w:w="1925" w:type="dxa"/>
            <w:noWrap w:val="0"/>
            <w:vAlign w:val="center"/>
          </w:tcPr>
          <w:p>
            <w:pPr>
              <w:keepNext w:val="0"/>
              <w:keepLines w:val="0"/>
              <w:widowControl/>
              <w:suppressLineNumbers w:val="0"/>
              <w:jc w:val="center"/>
              <w:textAlignment w:val="center"/>
              <w:rPr>
                <w:rFonts w:ascii="宋体" w:cs="Times New Roman"/>
                <w:kern w:val="0"/>
              </w:rPr>
            </w:pPr>
            <w:r>
              <w:rPr>
                <w:rFonts w:hint="eastAsia" w:ascii="宋体" w:hAnsi="宋体" w:eastAsia="宋体" w:cs="宋体"/>
                <w:i w:val="0"/>
                <w:iCs w:val="0"/>
                <w:color w:val="000000"/>
                <w:kern w:val="0"/>
                <w:sz w:val="24"/>
                <w:szCs w:val="24"/>
                <w:u w:val="none"/>
                <w:lang w:val="en-US" w:eastAsia="zh-CN" w:bidi="ar"/>
              </w:rPr>
              <w:t>甲型HINI流感病毒核酸检测试剂盒</w:t>
            </w:r>
          </w:p>
        </w:tc>
        <w:tc>
          <w:tcPr>
            <w:tcW w:w="721" w:type="dxa"/>
            <w:noWrap w:val="0"/>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18"/>
                <w:szCs w:val="18"/>
                <w:u w:val="none"/>
                <w:lang w:val="en-US" w:eastAsia="zh-CN" w:bidi="ar"/>
              </w:rPr>
              <w:t>≥24T</w:t>
            </w:r>
          </w:p>
        </w:tc>
        <w:tc>
          <w:tcPr>
            <w:tcW w:w="1000" w:type="dxa"/>
            <w:noWrap w:val="0"/>
            <w:vAlign w:val="center"/>
          </w:tcPr>
          <w:p>
            <w:pPr>
              <w:keepNext w:val="0"/>
              <w:keepLines w:val="0"/>
              <w:widowControl/>
              <w:suppressLineNumbers w:val="0"/>
              <w:jc w:val="left"/>
              <w:textAlignment w:val="center"/>
              <w:rPr>
                <w:rFonts w:hint="default" w:ascii="宋体" w:eastAsia="宋体" w:cs="Times New Roman"/>
                <w:kern w:val="0"/>
                <w:lang w:val="en-US" w:eastAsia="zh-CN"/>
              </w:rPr>
            </w:pPr>
            <w:r>
              <w:rPr>
                <w:rFonts w:hint="default" w:eastAsia="宋体" w:cs="Times New Roman"/>
                <w:kern w:val="0"/>
                <w:lang w:val="en-US" w:eastAsia="zh-CN"/>
              </w:rPr>
              <w:t>≥480人份</w:t>
            </w:r>
          </w:p>
        </w:tc>
        <w:tc>
          <w:tcPr>
            <w:tcW w:w="27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1、适用仪器包括ABI7500、ABI7300、LightCycler480等荧光定量PCR仪。</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2、灵敏度≥10^3copies/ml，与其他流感病毒不能有交叉反应。</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3、可从各种临床标本及病毒分离物中提取的RNA样品进行检测。</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4、有效期：≥9个月，（到货后有效期≥8个月）。</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5、荧光RT-PCR反应程序相同。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6、需要提供正规授权书。</w:t>
            </w:r>
          </w:p>
          <w:p>
            <w:pPr>
              <w:keepNext w:val="0"/>
              <w:keepLines w:val="0"/>
              <w:widowControl/>
              <w:suppressLineNumbers w:val="0"/>
              <w:jc w:val="left"/>
              <w:textAlignment w:val="center"/>
              <w:rPr>
                <w:rFonts w:ascii="宋体" w:cs="Times New Roman"/>
                <w:kern w:val="0"/>
              </w:rPr>
            </w:pPr>
            <w:r>
              <w:rPr>
                <w:rFonts w:hint="eastAsia" w:ascii="宋体" w:hAnsi="宋体" w:eastAsia="宋体" w:cs="宋体"/>
                <w:i w:val="0"/>
                <w:iCs w:val="0"/>
                <w:color w:val="000000"/>
                <w:kern w:val="0"/>
                <w:sz w:val="18"/>
                <w:szCs w:val="18"/>
                <w:u w:val="none"/>
                <w:lang w:val="en-US" w:eastAsia="zh-CN" w:bidi="ar"/>
              </w:rPr>
              <w:t>7、需要提供产品注册证。</w:t>
            </w:r>
          </w:p>
        </w:tc>
        <w:tc>
          <w:tcPr>
            <w:tcW w:w="959" w:type="dxa"/>
            <w:noWrap w:val="0"/>
            <w:vAlign w:val="center"/>
          </w:tcPr>
          <w:p>
            <w:pPr>
              <w:widowControl/>
              <w:jc w:val="center"/>
              <w:rPr>
                <w:rFonts w:ascii="宋体" w:cs="Times New Roman"/>
                <w:kern w:val="0"/>
              </w:rPr>
            </w:pPr>
            <w:r>
              <w:rPr>
                <w:rFonts w:hint="eastAsia" w:ascii="宋体" w:cs="宋体"/>
                <w:kern w:val="0"/>
              </w:rPr>
              <w:t>流感检测</w:t>
            </w:r>
          </w:p>
        </w:tc>
        <w:tc>
          <w:tcPr>
            <w:tcW w:w="1414" w:type="dxa"/>
            <w:noWrap w:val="0"/>
            <w:vAlign w:val="center"/>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Q5/Q7/Q7PRO</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0" w:type="dxa"/>
            <w:noWrap w:val="0"/>
            <w:vAlign w:val="center"/>
          </w:tcPr>
          <w:p>
            <w:pPr>
              <w:jc w:val="center"/>
              <w:rPr>
                <w:rFonts w:ascii="宋体" w:cs="宋体"/>
              </w:rPr>
            </w:pPr>
            <w:r>
              <w:rPr>
                <w:rFonts w:hint="eastAsia" w:ascii="宋体" w:hAnsi="宋体" w:cs="宋体"/>
                <w:lang w:val="en-US" w:eastAsia="zh-CN"/>
              </w:rPr>
              <w:t>3</w:t>
            </w:r>
          </w:p>
        </w:tc>
        <w:tc>
          <w:tcPr>
            <w:tcW w:w="1925" w:type="dxa"/>
            <w:noWrap w:val="0"/>
            <w:vAlign w:val="center"/>
          </w:tcPr>
          <w:p>
            <w:pPr>
              <w:keepNext w:val="0"/>
              <w:keepLines w:val="0"/>
              <w:widowControl/>
              <w:suppressLineNumbers w:val="0"/>
              <w:jc w:val="center"/>
              <w:textAlignment w:val="center"/>
              <w:rPr>
                <w:rFonts w:ascii="宋体" w:cs="Times New Roman"/>
                <w:kern w:val="0"/>
              </w:rPr>
            </w:pPr>
            <w:r>
              <w:rPr>
                <w:rFonts w:hint="eastAsia" w:ascii="宋体" w:hAnsi="宋体" w:eastAsia="宋体" w:cs="宋体"/>
                <w:i w:val="0"/>
                <w:iCs w:val="0"/>
                <w:color w:val="000000"/>
                <w:kern w:val="0"/>
                <w:sz w:val="24"/>
                <w:szCs w:val="24"/>
                <w:u w:val="none"/>
                <w:lang w:val="en-US" w:eastAsia="zh-CN" w:bidi="ar"/>
              </w:rPr>
              <w:t>季节性流感病毒H3亚型核酸检测试剂盒</w:t>
            </w:r>
          </w:p>
        </w:tc>
        <w:tc>
          <w:tcPr>
            <w:tcW w:w="721" w:type="dxa"/>
            <w:noWrap w:val="0"/>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18"/>
                <w:szCs w:val="18"/>
                <w:u w:val="none"/>
                <w:lang w:val="en-US" w:eastAsia="zh-CN" w:bidi="ar"/>
              </w:rPr>
              <w:t>≥24T</w:t>
            </w:r>
          </w:p>
        </w:tc>
        <w:tc>
          <w:tcPr>
            <w:tcW w:w="1000" w:type="dxa"/>
            <w:noWrap w:val="0"/>
            <w:vAlign w:val="center"/>
          </w:tcPr>
          <w:p>
            <w:pPr>
              <w:keepNext w:val="0"/>
              <w:keepLines w:val="0"/>
              <w:widowControl/>
              <w:suppressLineNumbers w:val="0"/>
              <w:jc w:val="left"/>
              <w:textAlignment w:val="center"/>
              <w:rPr>
                <w:rFonts w:hint="default" w:ascii="宋体" w:eastAsia="宋体" w:cs="Times New Roman"/>
                <w:kern w:val="0"/>
                <w:lang w:val="en-US" w:eastAsia="zh-CN"/>
              </w:rPr>
            </w:pPr>
            <w:r>
              <w:rPr>
                <w:rFonts w:hint="default" w:eastAsia="宋体" w:cs="Times New Roman"/>
                <w:kern w:val="0"/>
                <w:lang w:val="en-US" w:eastAsia="zh-CN"/>
              </w:rPr>
              <w:t>≥480人份</w:t>
            </w:r>
          </w:p>
        </w:tc>
        <w:tc>
          <w:tcPr>
            <w:tcW w:w="27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1、适用仪器包括ABI7500、ABI7300、LightCycler480等荧光定量PCR仪。</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2、灵敏度≥10^3copies/ml，与其他流感病毒不能有交叉反应。</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3、可从各种临床标本及病毒分离物中提取的RNA样品进行检测。</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4、有效期：≥9个月，（到货后有效期≥8个月）。</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5、荧光RT-PCR反应程序相同。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6、需要提供正规授权书。</w:t>
            </w:r>
          </w:p>
          <w:p>
            <w:pPr>
              <w:keepNext w:val="0"/>
              <w:keepLines w:val="0"/>
              <w:widowControl/>
              <w:suppressLineNumbers w:val="0"/>
              <w:jc w:val="left"/>
              <w:textAlignment w:val="center"/>
              <w:rPr>
                <w:rFonts w:ascii="宋体" w:cs="Times New Roman"/>
                <w:kern w:val="0"/>
              </w:rPr>
            </w:pPr>
            <w:r>
              <w:rPr>
                <w:rFonts w:hint="eastAsia" w:ascii="宋体" w:hAnsi="宋体" w:eastAsia="宋体" w:cs="宋体"/>
                <w:i w:val="0"/>
                <w:iCs w:val="0"/>
                <w:color w:val="000000"/>
                <w:kern w:val="0"/>
                <w:sz w:val="18"/>
                <w:szCs w:val="18"/>
                <w:u w:val="none"/>
                <w:lang w:val="en-US" w:eastAsia="zh-CN" w:bidi="ar"/>
              </w:rPr>
              <w:t>7、需要提供产品注册证。</w:t>
            </w:r>
          </w:p>
        </w:tc>
        <w:tc>
          <w:tcPr>
            <w:tcW w:w="959" w:type="dxa"/>
            <w:noWrap w:val="0"/>
            <w:vAlign w:val="center"/>
          </w:tcPr>
          <w:p>
            <w:pPr>
              <w:widowControl/>
              <w:jc w:val="center"/>
              <w:rPr>
                <w:rFonts w:ascii="宋体" w:cs="Times New Roman"/>
                <w:kern w:val="0"/>
              </w:rPr>
            </w:pPr>
            <w:r>
              <w:rPr>
                <w:rFonts w:hint="eastAsia" w:ascii="宋体" w:cs="宋体"/>
                <w:kern w:val="0"/>
              </w:rPr>
              <w:t>流感检测</w:t>
            </w:r>
          </w:p>
        </w:tc>
        <w:tc>
          <w:tcPr>
            <w:tcW w:w="1414" w:type="dxa"/>
            <w:noWrap w:val="0"/>
            <w:vAlign w:val="center"/>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Q5/Q7/Q7PRO</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450" w:type="dxa"/>
            <w:noWrap w:val="0"/>
            <w:vAlign w:val="center"/>
          </w:tcPr>
          <w:p>
            <w:pPr>
              <w:jc w:val="center"/>
              <w:rPr>
                <w:rFonts w:ascii="宋体" w:cs="宋体"/>
              </w:rPr>
            </w:pPr>
            <w:r>
              <w:rPr>
                <w:rFonts w:hint="eastAsia" w:ascii="宋体" w:hAnsi="宋体" w:cs="宋体"/>
                <w:lang w:val="en-US" w:eastAsia="zh-CN"/>
              </w:rPr>
              <w:t>4</w:t>
            </w:r>
          </w:p>
        </w:tc>
        <w:tc>
          <w:tcPr>
            <w:tcW w:w="1925" w:type="dxa"/>
            <w:noWrap w:val="0"/>
            <w:vAlign w:val="center"/>
          </w:tcPr>
          <w:p>
            <w:pPr>
              <w:keepNext w:val="0"/>
              <w:keepLines w:val="0"/>
              <w:widowControl/>
              <w:suppressLineNumbers w:val="0"/>
              <w:jc w:val="center"/>
              <w:textAlignment w:val="center"/>
              <w:rPr>
                <w:rFonts w:ascii="宋体" w:cs="Times New Roman"/>
                <w:kern w:val="0"/>
              </w:rPr>
            </w:pPr>
            <w:r>
              <w:rPr>
                <w:rFonts w:hint="eastAsia" w:ascii="宋体" w:hAnsi="宋体" w:eastAsia="宋体" w:cs="宋体"/>
                <w:i w:val="0"/>
                <w:iCs w:val="0"/>
                <w:color w:val="000000"/>
                <w:kern w:val="0"/>
                <w:sz w:val="24"/>
                <w:szCs w:val="24"/>
                <w:u w:val="none"/>
                <w:lang w:val="en-US" w:eastAsia="zh-CN" w:bidi="ar"/>
              </w:rPr>
              <w:t>禽流感病毒H7亚型核酸检测试剂盒</w:t>
            </w:r>
          </w:p>
        </w:tc>
        <w:tc>
          <w:tcPr>
            <w:tcW w:w="721" w:type="dxa"/>
            <w:noWrap w:val="0"/>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18"/>
                <w:szCs w:val="18"/>
                <w:u w:val="none"/>
                <w:lang w:val="en-US" w:eastAsia="zh-CN" w:bidi="ar"/>
              </w:rPr>
              <w:t>≥24T</w:t>
            </w:r>
          </w:p>
        </w:tc>
        <w:tc>
          <w:tcPr>
            <w:tcW w:w="1000" w:type="dxa"/>
            <w:noWrap w:val="0"/>
            <w:vAlign w:val="center"/>
          </w:tcPr>
          <w:p>
            <w:pPr>
              <w:keepNext w:val="0"/>
              <w:keepLines w:val="0"/>
              <w:widowControl/>
              <w:suppressLineNumbers w:val="0"/>
              <w:jc w:val="left"/>
              <w:textAlignment w:val="center"/>
              <w:rPr>
                <w:rFonts w:hint="default" w:ascii="宋体" w:eastAsia="宋体" w:cs="Times New Roman"/>
                <w:kern w:val="0"/>
                <w:lang w:val="en-US" w:eastAsia="zh-CN"/>
              </w:rPr>
            </w:pPr>
            <w:r>
              <w:rPr>
                <w:rFonts w:hint="default" w:eastAsia="宋体" w:cs="Times New Roman"/>
                <w:kern w:val="0"/>
                <w:lang w:val="en-US" w:eastAsia="zh-CN"/>
              </w:rPr>
              <w:t>≥480人份</w:t>
            </w:r>
          </w:p>
        </w:tc>
        <w:tc>
          <w:tcPr>
            <w:tcW w:w="27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1、适用仪器包括ABI7500、ABI7300、LightCycler480等荧光定量PCR仪。</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2、灵敏度≥10^3copies/ml，与其他流感病毒不能有交叉反应。</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3、可从各种临床标本及病毒分离物中提取的RNA样品进行检测。</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4、有效期：≥9个月，（到货后有效期≥8个月）。</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5、荧光RT-PCR反应程序相同。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6、需要提供正规授权书。</w:t>
            </w:r>
          </w:p>
          <w:p>
            <w:pPr>
              <w:keepNext w:val="0"/>
              <w:keepLines w:val="0"/>
              <w:widowControl/>
              <w:suppressLineNumbers w:val="0"/>
              <w:jc w:val="left"/>
              <w:textAlignment w:val="center"/>
              <w:rPr>
                <w:rFonts w:ascii="宋体" w:cs="Times New Roman"/>
                <w:kern w:val="0"/>
              </w:rPr>
            </w:pPr>
            <w:r>
              <w:rPr>
                <w:rFonts w:hint="eastAsia" w:ascii="宋体" w:hAnsi="宋体" w:eastAsia="宋体" w:cs="宋体"/>
                <w:i w:val="0"/>
                <w:iCs w:val="0"/>
                <w:color w:val="000000"/>
                <w:kern w:val="0"/>
                <w:sz w:val="18"/>
                <w:szCs w:val="18"/>
                <w:u w:val="none"/>
                <w:lang w:val="en-US" w:eastAsia="zh-CN" w:bidi="ar"/>
              </w:rPr>
              <w:t>7、需要提供产品注册证。</w:t>
            </w:r>
          </w:p>
        </w:tc>
        <w:tc>
          <w:tcPr>
            <w:tcW w:w="959" w:type="dxa"/>
            <w:noWrap w:val="0"/>
            <w:vAlign w:val="center"/>
          </w:tcPr>
          <w:p>
            <w:pPr>
              <w:widowControl/>
              <w:jc w:val="center"/>
              <w:rPr>
                <w:rFonts w:ascii="宋体" w:cs="Times New Roman"/>
                <w:kern w:val="0"/>
              </w:rPr>
            </w:pPr>
            <w:r>
              <w:rPr>
                <w:rFonts w:hint="eastAsia" w:ascii="宋体" w:cs="宋体"/>
                <w:kern w:val="0"/>
              </w:rPr>
              <w:t>流感检测</w:t>
            </w:r>
          </w:p>
        </w:tc>
        <w:tc>
          <w:tcPr>
            <w:tcW w:w="1414" w:type="dxa"/>
            <w:noWrap w:val="0"/>
            <w:vAlign w:val="center"/>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Q5/Q7/Q7PRO</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0" w:type="dxa"/>
            <w:noWrap w:val="0"/>
            <w:vAlign w:val="center"/>
          </w:tcPr>
          <w:p>
            <w:pPr>
              <w:jc w:val="center"/>
              <w:rPr>
                <w:rFonts w:ascii="宋体" w:cs="宋体"/>
              </w:rPr>
            </w:pPr>
            <w:r>
              <w:rPr>
                <w:rFonts w:hint="eastAsia" w:ascii="宋体" w:hAnsi="宋体" w:cs="宋体"/>
                <w:lang w:val="en-US" w:eastAsia="zh-CN"/>
              </w:rPr>
              <w:t>5</w:t>
            </w:r>
          </w:p>
        </w:tc>
        <w:tc>
          <w:tcPr>
            <w:tcW w:w="1925" w:type="dxa"/>
            <w:noWrap w:val="0"/>
            <w:vAlign w:val="center"/>
          </w:tcPr>
          <w:p>
            <w:pPr>
              <w:keepNext w:val="0"/>
              <w:keepLines w:val="0"/>
              <w:widowControl/>
              <w:suppressLineNumbers w:val="0"/>
              <w:jc w:val="center"/>
              <w:textAlignment w:val="center"/>
              <w:rPr>
                <w:rFonts w:hint="default" w:ascii="宋体" w:cs="Times New Roman"/>
                <w:kern w:val="0"/>
                <w:lang w:val="en-US"/>
              </w:rPr>
            </w:pPr>
            <w:r>
              <w:rPr>
                <w:rFonts w:hint="eastAsia" w:ascii="宋体" w:hAnsi="宋体" w:eastAsia="宋体" w:cs="宋体"/>
                <w:i w:val="0"/>
                <w:iCs w:val="0"/>
                <w:color w:val="000000"/>
                <w:kern w:val="0"/>
                <w:sz w:val="24"/>
                <w:szCs w:val="24"/>
                <w:u w:val="none"/>
                <w:lang w:val="en-US" w:eastAsia="zh-CN" w:bidi="ar"/>
              </w:rPr>
              <w:t>乙型流感病毒核酸检测试剂盒</w:t>
            </w:r>
          </w:p>
        </w:tc>
        <w:tc>
          <w:tcPr>
            <w:tcW w:w="721" w:type="dxa"/>
            <w:noWrap w:val="0"/>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18"/>
                <w:szCs w:val="18"/>
                <w:u w:val="none"/>
                <w:lang w:val="en-US" w:eastAsia="zh-CN" w:bidi="ar"/>
              </w:rPr>
              <w:t>≥24T</w:t>
            </w:r>
          </w:p>
        </w:tc>
        <w:tc>
          <w:tcPr>
            <w:tcW w:w="1000" w:type="dxa"/>
            <w:noWrap w:val="0"/>
            <w:vAlign w:val="center"/>
          </w:tcPr>
          <w:p>
            <w:pPr>
              <w:keepNext w:val="0"/>
              <w:keepLines w:val="0"/>
              <w:widowControl/>
              <w:suppressLineNumbers w:val="0"/>
              <w:jc w:val="left"/>
              <w:textAlignment w:val="center"/>
              <w:rPr>
                <w:rFonts w:hint="default" w:ascii="宋体" w:eastAsia="宋体" w:cs="Times New Roman"/>
                <w:kern w:val="0"/>
                <w:lang w:val="en-US" w:eastAsia="zh-CN"/>
              </w:rPr>
            </w:pPr>
            <w:r>
              <w:rPr>
                <w:rFonts w:hint="default" w:eastAsia="宋体" w:cs="Times New Roman"/>
                <w:kern w:val="0"/>
                <w:lang w:val="en-US" w:eastAsia="zh-CN"/>
              </w:rPr>
              <w:t>≥720人份</w:t>
            </w:r>
          </w:p>
        </w:tc>
        <w:tc>
          <w:tcPr>
            <w:tcW w:w="27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1、适用仪器包括ABI7500、ABI7300、LightCycler480等荧光定量PCR仪。</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2、灵敏度≥10^3copies/ml，与其他流感病毒不能有交叉反应。</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3、可从各种临床标本及病毒分离物中提取的RNA样品进行检测。</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4、有效期：≥9个月，（到货后有效期≥8个月）。</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5、荧光RT-PCR反应程序相同。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6、需要提供正规授权书。</w:t>
            </w:r>
          </w:p>
          <w:p>
            <w:pPr>
              <w:keepNext w:val="0"/>
              <w:keepLines w:val="0"/>
              <w:widowControl/>
              <w:suppressLineNumbers w:val="0"/>
              <w:jc w:val="left"/>
              <w:textAlignment w:val="center"/>
              <w:rPr>
                <w:rFonts w:ascii="宋体" w:cs="Times New Roman"/>
                <w:kern w:val="0"/>
              </w:rPr>
            </w:pPr>
            <w:r>
              <w:rPr>
                <w:rFonts w:hint="eastAsia" w:ascii="宋体" w:hAnsi="宋体" w:eastAsia="宋体" w:cs="宋体"/>
                <w:i w:val="0"/>
                <w:iCs w:val="0"/>
                <w:color w:val="000000"/>
                <w:kern w:val="0"/>
                <w:sz w:val="18"/>
                <w:szCs w:val="18"/>
                <w:u w:val="none"/>
                <w:lang w:val="en-US" w:eastAsia="zh-CN" w:bidi="ar"/>
              </w:rPr>
              <w:t>7、需要提供产品注册证。</w:t>
            </w:r>
          </w:p>
        </w:tc>
        <w:tc>
          <w:tcPr>
            <w:tcW w:w="959" w:type="dxa"/>
            <w:noWrap w:val="0"/>
            <w:vAlign w:val="center"/>
          </w:tcPr>
          <w:p>
            <w:pPr>
              <w:widowControl/>
              <w:jc w:val="center"/>
              <w:rPr>
                <w:rFonts w:ascii="宋体" w:cs="Times New Roman"/>
                <w:kern w:val="0"/>
              </w:rPr>
            </w:pPr>
            <w:r>
              <w:rPr>
                <w:rFonts w:hint="eastAsia" w:ascii="宋体" w:cs="宋体"/>
                <w:kern w:val="0"/>
                <w:lang w:val="en-US" w:eastAsia="zh-CN"/>
              </w:rPr>
              <w:t>流感检测</w:t>
            </w:r>
          </w:p>
        </w:tc>
        <w:tc>
          <w:tcPr>
            <w:tcW w:w="1414" w:type="dxa"/>
            <w:noWrap w:val="0"/>
            <w:vAlign w:val="center"/>
          </w:tcPr>
          <w:p>
            <w:pPr>
              <w:widowControl/>
              <w:jc w:val="center"/>
              <w:rPr>
                <w:rFonts w:ascii="宋体" w:cs="Times New Roman"/>
                <w:kern w:val="0"/>
              </w:rPr>
            </w:pPr>
            <w:r>
              <w:rPr>
                <w:rFonts w:hint="eastAsia" w:ascii="宋体" w:cs="宋体"/>
                <w:kern w:val="0"/>
              </w:rPr>
              <w:t>适合</w:t>
            </w:r>
            <w:r>
              <w:rPr>
                <w:rFonts w:ascii="宋体" w:cs="宋体"/>
                <w:kern w:val="0"/>
              </w:rPr>
              <w:t>ABI</w:t>
            </w:r>
            <w:r>
              <w:rPr>
                <w:rFonts w:hint="eastAsia" w:ascii="宋体" w:cs="宋体"/>
                <w:kern w:val="0"/>
                <w:lang w:val="en-US" w:eastAsia="zh-CN"/>
              </w:rPr>
              <w:t>Q5/Q7/Q7PRO</w:t>
            </w:r>
            <w:r>
              <w:rPr>
                <w:rFonts w:hint="eastAsia" w:ascii="宋体" w:cs="宋体"/>
                <w:kern w:val="0"/>
              </w:rPr>
              <w:t>型仪器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0" w:type="dxa"/>
            <w:noWrap w:val="0"/>
            <w:vAlign w:val="center"/>
          </w:tcPr>
          <w:p>
            <w:pPr>
              <w:jc w:val="center"/>
              <w:rPr>
                <w:rFonts w:hint="default" w:ascii="宋体" w:hAnsi="宋体" w:cs="宋体"/>
                <w:lang w:val="en-US" w:eastAsia="zh-CN"/>
              </w:rPr>
            </w:pPr>
            <w:r>
              <w:rPr>
                <w:rFonts w:hint="eastAsia" w:ascii="宋体" w:hAnsi="宋体" w:cs="宋体"/>
                <w:lang w:val="en-US" w:eastAsia="zh-CN"/>
              </w:rPr>
              <w:t>6</w:t>
            </w:r>
          </w:p>
        </w:tc>
        <w:tc>
          <w:tcPr>
            <w:tcW w:w="1925" w:type="dxa"/>
            <w:noWrap w:val="0"/>
            <w:vAlign w:val="center"/>
          </w:tcPr>
          <w:p>
            <w:pPr>
              <w:keepNext w:val="0"/>
              <w:keepLines w:val="0"/>
              <w:widowControl/>
              <w:suppressLineNumbers w:val="0"/>
              <w:jc w:val="center"/>
              <w:textAlignment w:val="center"/>
              <w:rPr>
                <w:rFonts w:hint="eastAsia" w:ascii="宋体" w:hAnsi="宋体" w:eastAsia="宋体"/>
                <w:sz w:val="21"/>
                <w:szCs w:val="21"/>
                <w:lang w:val="en-US" w:eastAsia="zh-CN"/>
              </w:rPr>
            </w:pPr>
            <w:r>
              <w:rPr>
                <w:rFonts w:hint="eastAsia" w:ascii="宋体" w:hAnsi="宋体" w:eastAsia="宋体" w:cs="宋体"/>
                <w:i w:val="0"/>
                <w:iCs w:val="0"/>
                <w:color w:val="000000"/>
                <w:kern w:val="0"/>
                <w:sz w:val="24"/>
                <w:szCs w:val="24"/>
                <w:u w:val="none"/>
                <w:lang w:eastAsia="en-US" w:bidi="ar"/>
              </w:rPr>
              <w:t>乙型流感病毒（Victoria</w:t>
            </w:r>
            <w:r>
              <w:rPr>
                <w:rFonts w:hint="eastAsia" w:ascii="宋体" w:hAnsi="宋体" w:eastAsia="宋体" w:cs="宋体"/>
                <w:i w:val="0"/>
                <w:iCs w:val="0"/>
                <w:color w:val="000000"/>
                <w:kern w:val="0"/>
                <w:sz w:val="20"/>
                <w:szCs w:val="20"/>
                <w:u w:val="none"/>
                <w:lang w:eastAsia="en-US" w:bidi="ar"/>
              </w:rPr>
              <w:t>/Yamagata）谱系核酸检测试剂盒</w:t>
            </w:r>
          </w:p>
        </w:tc>
        <w:tc>
          <w:tcPr>
            <w:tcW w:w="72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18"/>
                <w:szCs w:val="18"/>
                <w:u w:val="none"/>
                <w:lang w:val="en-US" w:eastAsia="zh-CN" w:bidi="ar"/>
              </w:rPr>
              <w:t>≥24T</w:t>
            </w:r>
          </w:p>
        </w:tc>
        <w:tc>
          <w:tcPr>
            <w:tcW w:w="1000" w:type="dxa"/>
            <w:noWrap w:val="0"/>
            <w:vAlign w:val="center"/>
          </w:tcPr>
          <w:p>
            <w:pPr>
              <w:keepNext w:val="0"/>
              <w:keepLines w:val="0"/>
              <w:widowControl/>
              <w:suppressLineNumbers w:val="0"/>
              <w:jc w:val="left"/>
              <w:textAlignment w:val="center"/>
              <w:rPr>
                <w:rFonts w:ascii="宋体" w:cs="Times New Roman"/>
                <w:kern w:val="0"/>
              </w:rPr>
            </w:pPr>
            <w:r>
              <w:rPr>
                <w:rFonts w:cs="Times New Roman"/>
                <w:kern w:val="0"/>
                <w:lang w:val="en-US"/>
              </w:rPr>
              <w:t>≥240人份</w:t>
            </w:r>
          </w:p>
        </w:tc>
        <w:tc>
          <w:tcPr>
            <w:tcW w:w="27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1、适用仪器包括ABI7500、ABI7300、LightCycler480等荧光定量PCR仪。</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2、灵敏度≥10^3copies/ml，与其他流感病毒不能有交叉反应。</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3、可从各种临床标本及病毒分离物中提取的RNA样品进行检测。</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4、同一反应体系同时检测乙型流感Victoria亚型和乙型流感病毒Yamagata亚型</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5、有效期：≥9个月，（到货后有效期≥8个月）。</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6、荧光RT-PCR反应程序相同。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7、需要提供正规授权书。</w:t>
            </w:r>
          </w:p>
          <w:p>
            <w:pPr>
              <w:keepNext w:val="0"/>
              <w:keepLines w:val="0"/>
              <w:widowControl/>
              <w:suppressLineNumbers w:val="0"/>
              <w:jc w:val="left"/>
              <w:textAlignment w:val="center"/>
              <w:rPr>
                <w:rFonts w:ascii="宋体" w:hAnsi="宋体" w:cs="宋体"/>
                <w:kern w:val="0"/>
                <w:sz w:val="18"/>
                <w:szCs w:val="20"/>
              </w:rPr>
            </w:pPr>
            <w:r>
              <w:rPr>
                <w:rFonts w:hint="eastAsia" w:ascii="宋体" w:hAnsi="宋体" w:eastAsia="宋体" w:cs="宋体"/>
                <w:i w:val="0"/>
                <w:iCs w:val="0"/>
                <w:color w:val="000000"/>
                <w:kern w:val="0"/>
                <w:sz w:val="18"/>
                <w:szCs w:val="18"/>
                <w:u w:val="none"/>
                <w:lang w:val="en-US" w:eastAsia="zh-CN" w:bidi="ar"/>
              </w:rPr>
              <w:t>8、需要提供产品注册证。</w:t>
            </w:r>
          </w:p>
        </w:tc>
        <w:tc>
          <w:tcPr>
            <w:tcW w:w="959" w:type="dxa"/>
            <w:noWrap w:val="0"/>
            <w:vAlign w:val="center"/>
          </w:tcPr>
          <w:p>
            <w:pPr>
              <w:widowControl/>
              <w:jc w:val="center"/>
              <w:rPr>
                <w:rFonts w:hint="eastAsia" w:ascii="宋体" w:cs="宋体"/>
                <w:kern w:val="0"/>
                <w:lang w:val="en-US" w:eastAsia="zh-CN"/>
              </w:rPr>
            </w:pPr>
            <w:r>
              <w:rPr>
                <w:rFonts w:hint="eastAsia" w:ascii="宋体" w:cs="宋体"/>
                <w:kern w:val="0"/>
                <w:lang w:val="en-US" w:eastAsia="zh-CN"/>
              </w:rPr>
              <w:t>流感检测</w:t>
            </w:r>
          </w:p>
        </w:tc>
        <w:tc>
          <w:tcPr>
            <w:tcW w:w="1414" w:type="dxa"/>
            <w:noWrap w:val="0"/>
            <w:vAlign w:val="center"/>
          </w:tcPr>
          <w:p>
            <w:pPr>
              <w:widowControl/>
              <w:jc w:val="center"/>
              <w:rPr>
                <w:rFonts w:hint="eastAsia" w:ascii="宋体" w:cs="宋体"/>
                <w:kern w:val="0"/>
              </w:rPr>
            </w:pPr>
            <w:r>
              <w:rPr>
                <w:rFonts w:hint="eastAsia" w:ascii="宋体" w:cs="宋体"/>
                <w:kern w:val="0"/>
              </w:rPr>
              <w:t>适合</w:t>
            </w:r>
            <w:r>
              <w:rPr>
                <w:rFonts w:ascii="宋体" w:cs="宋体"/>
                <w:kern w:val="0"/>
              </w:rPr>
              <w:t>ABI</w:t>
            </w:r>
            <w:r>
              <w:rPr>
                <w:rFonts w:hint="eastAsia" w:ascii="宋体" w:cs="宋体"/>
                <w:kern w:val="0"/>
                <w:lang w:val="en-US" w:eastAsia="zh-CN"/>
              </w:rPr>
              <w:t>Q5/Q7/Q7PRO</w:t>
            </w:r>
            <w:r>
              <w:rPr>
                <w:rFonts w:hint="eastAsia" w:ascii="宋体" w:cs="宋体"/>
                <w:kern w:val="0"/>
              </w:rPr>
              <w:t>型仪器</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chineseCountingThousand"/>
      <w:pStyle w:val="5"/>
      <w:lvlText w:val="第%1章"/>
      <w:lvlJc w:val="left"/>
      <w:pPr>
        <w:ind w:left="0" w:firstLine="0"/>
      </w:pPr>
      <w:rPr>
        <w:rFonts w:hint="eastAsia"/>
      </w:rPr>
    </w:lvl>
    <w:lvl w:ilvl="1" w:tentative="0">
      <w:start w:val="1"/>
      <w:numFmt w:val="chineseCountingThousand"/>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MTQxMWNjNWZiZjMyOTYwMGEzNGIwNmI3MmZmMjYifQ=="/>
  </w:docVars>
  <w:rsids>
    <w:rsidRoot w:val="00000000"/>
    <w:rsid w:val="35C43309"/>
    <w:rsid w:val="45324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0"/>
    <w:pPr>
      <w:keepNext/>
      <w:keepLines/>
      <w:numPr>
        <w:ilvl w:val="0"/>
        <w:numId w:val="1"/>
      </w:numPr>
      <w:spacing w:line="360" w:lineRule="auto"/>
      <w:jc w:val="center"/>
      <w:outlineLvl w:val="0"/>
    </w:pPr>
    <w:rPr>
      <w:rFonts w:ascii="Times New Roman" w:hAnsi="Times New Roman" w:eastAsia="宋体" w:cs="Times New Roman"/>
      <w:b/>
      <w:bCs/>
      <w:kern w:val="44"/>
      <w:sz w:val="30"/>
      <w:szCs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adjustRightInd w:val="0"/>
      <w:snapToGrid w:val="0"/>
      <w:spacing w:after="120" w:line="360" w:lineRule="auto"/>
      <w:ind w:left="420" w:leftChars="200" w:firstLine="420" w:firstLineChars="200"/>
    </w:pPr>
    <w:rPr>
      <w:rFonts w:ascii="Times New Roman" w:hAnsi="Times New Roman" w:eastAsia="宋体" w:cs="Times New Roman"/>
      <w:sz w:val="24"/>
      <w:szCs w:val="24"/>
    </w:rPr>
  </w:style>
  <w:style w:type="paragraph" w:styleId="3">
    <w:name w:val="Body Text Indent"/>
    <w:basedOn w:val="1"/>
    <w:next w:val="4"/>
    <w:qFormat/>
    <w:uiPriority w:val="0"/>
    <w:pPr>
      <w:ind w:firstLine="645"/>
    </w:pPr>
    <w:rPr>
      <w:rFonts w:ascii="楷体_GB2312" w:hAnsi="Times New Roman" w:eastAsia="楷体_GB2312" w:cs="Times New Roman"/>
      <w:sz w:val="32"/>
    </w:rPr>
  </w:style>
  <w:style w:type="paragraph" w:styleId="4">
    <w:name w:val="envelope return"/>
    <w:basedOn w:val="1"/>
    <w:qFormat/>
    <w:uiPriority w:val="0"/>
    <w:pPr>
      <w:adjustRightInd w:val="0"/>
      <w:snapToGrid w:val="0"/>
      <w:spacing w:line="360" w:lineRule="auto"/>
      <w:ind w:firstLine="200" w:firstLineChars="200"/>
    </w:pPr>
    <w:rPr>
      <w:rFonts w:ascii="Cambria" w:hAnsi="Cambria"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2022-07-27T07:01:00Z</dcterms:created>
  <dc:creator>Administrator</dc:creator>
  <cp:lastModifiedBy>丨′抬头观望那1.袭星光ゞ</cp:lastModifiedBy>
  <dcterms:modified xsi:type="dcterms:W3CDTF">2022-07-27T07:02:58Z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85BCC4B735E0460CACD026822F265A93</vt:lpwstr>
  </property>
</Properties>
</file>