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jc w:val="center"/>
        <w:rPr>
          <w:rFonts w:hint="eastAsia"/>
          <w:lang w:val="en-US" w:eastAsia="zh-CN"/>
        </w:rPr>
      </w:pPr>
      <w:bookmarkStart w:id="2" w:name="_GoBack"/>
      <w:bookmarkEnd w:id="2"/>
      <w:r>
        <w:rPr>
          <w:rFonts w:hint="eastAsia"/>
          <w:lang w:eastAsia="zh-CN"/>
        </w:rPr>
        <w:t>淮北市疾控中心医用辐射防护监测项目采购第三方放射卫生技术服务（放射诊疗设备性能和工作场所防护检测）</w:t>
      </w:r>
      <w:r>
        <w:rPr>
          <w:rFonts w:hint="eastAsia"/>
          <w:lang w:val="en-US" w:eastAsia="zh-CN"/>
        </w:rPr>
        <w:t>采购需求</w:t>
      </w:r>
    </w:p>
    <w:p>
      <w:pPr>
        <w:rPr>
          <w:b/>
          <w:bCs/>
          <w:sz w:val="24"/>
          <w:szCs w:val="24"/>
        </w:rPr>
      </w:pPr>
      <w:r>
        <w:rPr>
          <w:rFonts w:hint="eastAsia"/>
          <w:b/>
          <w:bCs/>
          <w:sz w:val="24"/>
          <w:szCs w:val="24"/>
          <w:lang w:val="en-US" w:eastAsia="zh-CN"/>
        </w:rPr>
        <w:t>一、</w:t>
      </w:r>
      <w:r>
        <w:rPr>
          <w:rFonts w:hint="eastAsia"/>
          <w:b/>
          <w:bCs/>
          <w:sz w:val="24"/>
          <w:szCs w:val="24"/>
        </w:rPr>
        <w:t>服务内容：</w:t>
      </w:r>
    </w:p>
    <w:p>
      <w:pPr>
        <w:pStyle w:val="5"/>
        <w:numPr>
          <w:ilvl w:val="0"/>
          <w:numId w:val="0"/>
        </w:numPr>
        <w:ind w:leftChars="0" w:firstLine="480" w:firstLineChars="200"/>
        <w:jc w:val="left"/>
        <w:rPr>
          <w:rFonts w:hint="eastAsia" w:ascii="宋体" w:hAnsi="宋体" w:eastAsia="宋体" w:cs="宋体"/>
          <w:b w:val="0"/>
          <w:bCs w:val="0"/>
          <w:sz w:val="24"/>
          <w:szCs w:val="24"/>
          <w:lang w:val="en-US" w:eastAsia="zh-CN"/>
        </w:rPr>
      </w:pPr>
      <w:bookmarkStart w:id="0" w:name="_Toc17488"/>
      <w:r>
        <w:rPr>
          <w:rFonts w:hint="eastAsia" w:ascii="宋体" w:hAnsi="宋体" w:eastAsia="宋体" w:cs="宋体"/>
          <w:b w:val="0"/>
          <w:bCs w:val="0"/>
          <w:sz w:val="24"/>
          <w:szCs w:val="24"/>
          <w:lang w:val="en-US" w:eastAsia="zh-CN"/>
        </w:rPr>
        <w:t>根据2020年我市实施医疗卫生机构辐射防护监测有关工作需要，对指定的淮北矿工总医院等4家监测点医疗机构（以下均称监测点医疗机构）放射诊疗设备性能和工作场所防护检测情况进行监测及质控。</w:t>
      </w:r>
    </w:p>
    <w:p>
      <w:pPr>
        <w:pStyle w:val="5"/>
        <w:numPr>
          <w:ilvl w:val="0"/>
          <w:numId w:val="0"/>
        </w:numPr>
        <w:ind w:leftChars="0"/>
        <w:jc w:val="left"/>
        <w:rPr>
          <w:rFonts w:hint="eastAsia" w:ascii="宋体" w:hAnsi="宋体" w:eastAsia="宋体" w:cs="宋体"/>
          <w:sz w:val="24"/>
          <w:szCs w:val="24"/>
        </w:rPr>
      </w:pPr>
      <w:r>
        <w:rPr>
          <w:rFonts w:hint="eastAsia" w:ascii="宋体" w:hAnsi="宋体" w:eastAsia="宋体" w:cs="宋体"/>
          <w:sz w:val="24"/>
          <w:szCs w:val="24"/>
          <w:lang w:val="en-US" w:eastAsia="zh-CN"/>
        </w:rPr>
        <w:t>二、服务期限</w:t>
      </w:r>
      <w:bookmarkEnd w:id="0"/>
    </w:p>
    <w:p>
      <w:pPr>
        <w:spacing w:line="360" w:lineRule="auto"/>
        <w:ind w:firstLine="480" w:firstLineChars="200"/>
        <w:rPr>
          <w:rFonts w:hint="default" w:ascii="宋体" w:hAnsi="宋体" w:cs="仿宋"/>
          <w:sz w:val="24"/>
          <w:szCs w:val="24"/>
          <w:lang w:val="en-US"/>
        </w:rPr>
      </w:pPr>
      <w:r>
        <w:rPr>
          <w:rFonts w:hint="eastAsia" w:ascii="宋体" w:hAnsi="宋体" w:cs="仿宋"/>
          <w:sz w:val="24"/>
          <w:szCs w:val="24"/>
          <w:lang w:val="en-US" w:eastAsia="zh-CN"/>
        </w:rPr>
        <w:t>自合同签订后30个日历天</w:t>
      </w:r>
    </w:p>
    <w:p>
      <w:pPr>
        <w:pStyle w:val="5"/>
        <w:numPr>
          <w:ilvl w:val="1"/>
          <w:numId w:val="0"/>
        </w:numPr>
        <w:ind w:leftChars="0"/>
        <w:jc w:val="left"/>
        <w:rPr>
          <w:rFonts w:hint="eastAsia" w:ascii="宋体" w:hAnsi="宋体" w:eastAsia="宋体" w:cs="宋体"/>
          <w:b/>
          <w:bCs/>
          <w:sz w:val="24"/>
          <w:szCs w:val="24"/>
          <w:lang w:val="en-US" w:eastAsia="zh-CN"/>
        </w:rPr>
      </w:pPr>
      <w:bookmarkStart w:id="1" w:name="_Toc10996"/>
      <w:r>
        <w:rPr>
          <w:rFonts w:hint="eastAsia" w:ascii="宋体" w:hAnsi="宋体" w:eastAsia="宋体" w:cs="宋体"/>
          <w:b/>
          <w:bCs/>
          <w:sz w:val="24"/>
          <w:szCs w:val="24"/>
          <w:lang w:val="en-US" w:eastAsia="zh-CN"/>
        </w:rPr>
        <w:t>三、报价要求</w:t>
      </w:r>
      <w:bookmarkEnd w:id="1"/>
    </w:p>
    <w:p>
      <w:pPr>
        <w:spacing w:line="360" w:lineRule="auto"/>
        <w:ind w:firstLine="200"/>
        <w:rPr>
          <w:rFonts w:hint="eastAsia" w:ascii="宋体" w:hAnsi="宋体" w:cs="宋体"/>
          <w:sz w:val="24"/>
          <w:szCs w:val="24"/>
        </w:rPr>
      </w:pPr>
      <w:r>
        <w:rPr>
          <w:rFonts w:hint="eastAsia" w:ascii="宋体" w:hAnsi="宋体" w:cs="宋体"/>
          <w:sz w:val="24"/>
          <w:szCs w:val="24"/>
        </w:rPr>
        <w:t>1、投标人的投标报价应包括</w:t>
      </w:r>
      <w:r>
        <w:rPr>
          <w:rFonts w:hint="eastAsia" w:ascii="宋体" w:hAnsi="宋体" w:cs="宋体"/>
          <w:sz w:val="24"/>
          <w:szCs w:val="24"/>
          <w:lang w:val="en-US" w:eastAsia="zh-CN"/>
        </w:rPr>
        <w:t>检测过程产生</w:t>
      </w:r>
      <w:r>
        <w:rPr>
          <w:rFonts w:hint="eastAsia" w:ascii="宋体" w:hAnsi="宋体" w:cs="宋体"/>
          <w:sz w:val="24"/>
          <w:szCs w:val="24"/>
        </w:rPr>
        <w:t>的所有费用。</w:t>
      </w:r>
    </w:p>
    <w:p>
      <w:pPr>
        <w:spacing w:line="360" w:lineRule="auto"/>
        <w:ind w:firstLine="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、投标人应自行踏勘现场，充分了解本项目的招标范围及内容。</w:t>
      </w:r>
    </w:p>
    <w:p>
      <w:pPr>
        <w:spacing w:line="360" w:lineRule="auto"/>
        <w:ind w:firstLine="2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、投标人应充分考虑项目履约期间的市场、政策等因素影响，将所有风险考虑在投标报</w:t>
      </w:r>
    </w:p>
    <w:p>
      <w:pPr>
        <w:pStyle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四、成果要求</w:t>
      </w:r>
    </w:p>
    <w:p>
      <w:pPr>
        <w:pStyle w:val="2"/>
        <w:rPr>
          <w:rFonts w:hint="eastAsia" w:ascii="宋体" w:hAnsi="宋体" w:eastAsia="宋体" w:cs="宋体"/>
          <w:b/>
          <w:bCs/>
          <w:sz w:val="24"/>
          <w:szCs w:val="24"/>
          <w:lang w:val="en-US" w:eastAsia="zh-CN"/>
        </w:rPr>
      </w:pPr>
    </w:p>
    <w:p>
      <w:pPr>
        <w:pStyle w:val="2"/>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编制检测报告，同时对所有的原始佐证资料（原始记录、存档报告、现场照片等）质控文件及材料进行留存，以备检查。</w:t>
      </w:r>
    </w:p>
    <w:p>
      <w:pPr>
        <w:pStyle w:val="2"/>
        <w:rPr>
          <w:rFonts w:hint="eastAsia" w:ascii="宋体" w:hAnsi="宋体" w:eastAsia="宋体" w:cs="宋体"/>
          <w:b/>
          <w:bCs/>
          <w:kern w:val="0"/>
          <w:sz w:val="24"/>
          <w:szCs w:val="24"/>
          <w:lang w:val="en-US" w:eastAsia="zh-CN"/>
        </w:rPr>
      </w:pPr>
    </w:p>
    <w:p>
      <w:pPr>
        <w:pStyle w:val="2"/>
        <w:numPr>
          <w:ilvl w:val="0"/>
          <w:numId w:val="2"/>
        </w:numP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服务需求</w:t>
      </w:r>
    </w:p>
    <w:p>
      <w:pPr>
        <w:pStyle w:val="2"/>
        <w:numPr>
          <w:ilvl w:val="0"/>
          <w:numId w:val="3"/>
        </w:numPr>
        <w:ind w:left="210" w:firstLine="0"/>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检测设备清单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2899"/>
        <w:gridCol w:w="806"/>
        <w:gridCol w:w="1886"/>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239" w:type="dxa"/>
            <w:noWrap w:val="0"/>
            <w:vAlign w:val="center"/>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序号</w:t>
            </w:r>
          </w:p>
        </w:tc>
        <w:tc>
          <w:tcPr>
            <w:tcW w:w="3605" w:type="dxa"/>
            <w:noWrap w:val="0"/>
            <w:vAlign w:val="center"/>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设备名称</w:t>
            </w:r>
          </w:p>
        </w:tc>
        <w:tc>
          <w:tcPr>
            <w:tcW w:w="913" w:type="dxa"/>
            <w:noWrap w:val="0"/>
            <w:vAlign w:val="center"/>
          </w:tcPr>
          <w:p>
            <w:pP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数量</w:t>
            </w:r>
          </w:p>
        </w:tc>
        <w:tc>
          <w:tcPr>
            <w:tcW w:w="2352" w:type="dxa"/>
            <w:noWrap w:val="0"/>
            <w:vAlign w:val="center"/>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放射诊断设备放射防护检测</w:t>
            </w:r>
          </w:p>
        </w:tc>
        <w:tc>
          <w:tcPr>
            <w:tcW w:w="2349" w:type="dxa"/>
            <w:noWrap w:val="0"/>
            <w:vAlign w:val="top"/>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放射诊疗场所放射防护检测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0458" w:type="dxa"/>
            <w:gridSpan w:val="5"/>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一、放射治疗设备部分：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1</w:t>
            </w:r>
          </w:p>
        </w:tc>
        <w:tc>
          <w:tcPr>
            <w:tcW w:w="3605" w:type="dxa"/>
            <w:noWrap w:val="0"/>
            <w:vAlign w:val="top"/>
          </w:tcPr>
          <w:p>
            <w:pPr>
              <w:jc w:val="center"/>
              <w:rPr>
                <w:rFonts w:hint="default" w:ascii="Times New Roman" w:hAnsi="Times New Roman" w:cs="Times New Roman"/>
                <w:sz w:val="32"/>
                <w:szCs w:val="40"/>
                <w:vertAlign w:val="baseline"/>
                <w:lang w:val="en-US" w:eastAsia="zh-CN"/>
              </w:rPr>
            </w:pPr>
            <w:r>
              <w:rPr>
                <w:rFonts w:ascii="Times New Roman" w:hAnsi="Times New Roman" w:eastAsia="仿宋" w:cs="Times New Roman"/>
                <w:sz w:val="32"/>
                <w:szCs w:val="32"/>
                <w:lang w:eastAsia="zh-CN"/>
              </w:rPr>
              <w:t>医用电子加速器</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2</w:t>
            </w:r>
          </w:p>
        </w:tc>
        <w:tc>
          <w:tcPr>
            <w:tcW w:w="2352" w:type="dxa"/>
            <w:noWrap w:val="0"/>
            <w:vAlign w:val="top"/>
          </w:tcPr>
          <w:p>
            <w:pPr>
              <w:rPr>
                <w:rFonts w:hint="eastAsia" w:ascii="Times New Roman" w:hAnsi="Times New Roman" w:eastAsia="宋体"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0458" w:type="dxa"/>
            <w:gridSpan w:val="5"/>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二、放射诊断设备部分：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1</w:t>
            </w:r>
          </w:p>
        </w:tc>
        <w:tc>
          <w:tcPr>
            <w:tcW w:w="3605" w:type="dxa"/>
            <w:noWrap w:val="0"/>
            <w:vAlign w:val="top"/>
          </w:tcPr>
          <w:p>
            <w:pPr>
              <w:jc w:val="center"/>
              <w:rPr>
                <w:rFonts w:ascii="Times New Roman" w:hAnsi="Times New Roman" w:eastAsia="仿宋" w:cs="Times New Roman"/>
                <w:sz w:val="32"/>
                <w:szCs w:val="32"/>
                <w:lang w:eastAsia="zh-CN"/>
              </w:rPr>
            </w:pPr>
            <w:r>
              <w:rPr>
                <w:rFonts w:ascii="Times New Roman" w:hAnsi="Times New Roman" w:eastAsia="仿宋" w:cs="Times New Roman"/>
                <w:sz w:val="32"/>
                <w:szCs w:val="32"/>
                <w:lang w:eastAsia="zh-CN"/>
              </w:rPr>
              <w:t>屏片X射线摄影机</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1</w:t>
            </w:r>
          </w:p>
        </w:tc>
        <w:tc>
          <w:tcPr>
            <w:tcW w:w="2352"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2</w:t>
            </w:r>
          </w:p>
        </w:tc>
        <w:tc>
          <w:tcPr>
            <w:tcW w:w="3605" w:type="dxa"/>
            <w:noWrap w:val="0"/>
            <w:vAlign w:val="top"/>
          </w:tcPr>
          <w:p>
            <w:pPr>
              <w:jc w:val="center"/>
              <w:rPr>
                <w:rFonts w:ascii="Times New Roman" w:hAnsi="Times New Roman" w:eastAsia="仿宋" w:cs="Times New Roman"/>
                <w:sz w:val="32"/>
                <w:szCs w:val="32"/>
                <w:lang w:eastAsia="zh-CN"/>
              </w:rPr>
            </w:pPr>
            <w:r>
              <w:rPr>
                <w:rFonts w:ascii="Times New Roman" w:hAnsi="Times New Roman" w:eastAsia="仿宋" w:cs="Times New Roman"/>
                <w:sz w:val="32"/>
                <w:szCs w:val="32"/>
                <w:lang w:eastAsia="zh-CN"/>
              </w:rPr>
              <w:t>Ｘ射线透视机</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1</w:t>
            </w:r>
          </w:p>
        </w:tc>
        <w:tc>
          <w:tcPr>
            <w:tcW w:w="2352"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3</w:t>
            </w:r>
          </w:p>
        </w:tc>
        <w:tc>
          <w:tcPr>
            <w:tcW w:w="3605" w:type="dxa"/>
            <w:noWrap w:val="0"/>
            <w:vAlign w:val="top"/>
          </w:tcPr>
          <w:p>
            <w:pPr>
              <w:jc w:val="center"/>
              <w:rPr>
                <w:rFonts w:ascii="Times New Roman" w:hAnsi="Times New Roman" w:eastAsia="仿宋" w:cs="Times New Roman"/>
                <w:sz w:val="32"/>
                <w:szCs w:val="32"/>
                <w:lang w:eastAsia="zh-CN"/>
              </w:rPr>
            </w:pPr>
            <w:r>
              <w:rPr>
                <w:rFonts w:ascii="Times New Roman" w:hAnsi="Times New Roman" w:eastAsia="仿宋" w:cs="Times New Roman"/>
                <w:sz w:val="32"/>
                <w:szCs w:val="32"/>
                <w:lang w:eastAsia="zh-CN"/>
              </w:rPr>
              <w:t>DR设备</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2</w:t>
            </w:r>
          </w:p>
        </w:tc>
        <w:tc>
          <w:tcPr>
            <w:tcW w:w="2352"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4</w:t>
            </w:r>
          </w:p>
        </w:tc>
        <w:tc>
          <w:tcPr>
            <w:tcW w:w="3605" w:type="dxa"/>
            <w:noWrap w:val="0"/>
            <w:vAlign w:val="top"/>
          </w:tcPr>
          <w:p>
            <w:pPr>
              <w:jc w:val="center"/>
              <w:rPr>
                <w:rFonts w:ascii="Times New Roman" w:hAnsi="Times New Roman" w:eastAsia="仿宋" w:cs="Times New Roman"/>
                <w:sz w:val="32"/>
                <w:szCs w:val="32"/>
                <w:lang w:eastAsia="zh-CN"/>
              </w:rPr>
            </w:pPr>
            <w:r>
              <w:rPr>
                <w:rFonts w:ascii="Times New Roman" w:hAnsi="Times New Roman" w:eastAsia="仿宋" w:cs="Times New Roman"/>
                <w:sz w:val="32"/>
                <w:szCs w:val="32"/>
                <w:lang w:eastAsia="zh-CN"/>
              </w:rPr>
              <w:t>CR设备</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1</w:t>
            </w:r>
          </w:p>
        </w:tc>
        <w:tc>
          <w:tcPr>
            <w:tcW w:w="2352"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5</w:t>
            </w:r>
          </w:p>
        </w:tc>
        <w:tc>
          <w:tcPr>
            <w:tcW w:w="3605" w:type="dxa"/>
            <w:noWrap w:val="0"/>
            <w:vAlign w:val="top"/>
          </w:tcPr>
          <w:p>
            <w:pPr>
              <w:jc w:val="center"/>
              <w:rPr>
                <w:rFonts w:ascii="Times New Roman" w:hAnsi="Times New Roman" w:eastAsia="仿宋" w:cs="Times New Roman"/>
                <w:sz w:val="32"/>
                <w:szCs w:val="32"/>
                <w:lang w:eastAsia="zh-CN"/>
              </w:rPr>
            </w:pPr>
            <w:r>
              <w:rPr>
                <w:rFonts w:ascii="Times New Roman" w:hAnsi="Times New Roman" w:eastAsia="仿宋" w:cs="Times New Roman"/>
                <w:sz w:val="32"/>
                <w:szCs w:val="32"/>
                <w:lang w:eastAsia="zh-CN"/>
              </w:rPr>
              <w:t>CT机</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2</w:t>
            </w:r>
          </w:p>
        </w:tc>
        <w:tc>
          <w:tcPr>
            <w:tcW w:w="2352"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39"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6</w:t>
            </w:r>
          </w:p>
        </w:tc>
        <w:tc>
          <w:tcPr>
            <w:tcW w:w="3605" w:type="dxa"/>
            <w:noWrap w:val="0"/>
            <w:vAlign w:val="top"/>
          </w:tcPr>
          <w:p>
            <w:pPr>
              <w:jc w:val="center"/>
              <w:rPr>
                <w:rFonts w:ascii="Times New Roman" w:hAnsi="Times New Roman" w:eastAsia="仿宋" w:cs="Times New Roman"/>
                <w:sz w:val="32"/>
                <w:szCs w:val="32"/>
                <w:lang w:eastAsia="zh-CN"/>
              </w:rPr>
            </w:pPr>
            <w:r>
              <w:rPr>
                <w:rFonts w:ascii="Times New Roman" w:hAnsi="Times New Roman" w:eastAsia="仿宋" w:cs="Times New Roman"/>
                <w:sz w:val="32"/>
                <w:szCs w:val="32"/>
                <w:lang w:eastAsia="zh-CN"/>
              </w:rPr>
              <w:t>DSA设备</w:t>
            </w:r>
          </w:p>
        </w:tc>
        <w:tc>
          <w:tcPr>
            <w:tcW w:w="913" w:type="dxa"/>
            <w:noWrap w:val="0"/>
            <w:vAlign w:val="top"/>
          </w:tcPr>
          <w:p>
            <w:pPr>
              <w:jc w:val="cente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1</w:t>
            </w:r>
          </w:p>
        </w:tc>
        <w:tc>
          <w:tcPr>
            <w:tcW w:w="2352"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c>
          <w:tcPr>
            <w:tcW w:w="2349" w:type="dxa"/>
            <w:noWrap w:val="0"/>
            <w:vAlign w:val="top"/>
          </w:tcPr>
          <w:p>
            <w:pPr>
              <w:rPr>
                <w:rFonts w:hint="default" w:ascii="Times New Roman" w:hAnsi="Times New Roman" w:cs="Times New Roman"/>
                <w:sz w:val="32"/>
                <w:szCs w:val="40"/>
                <w:vertAlign w:val="baseline"/>
                <w:lang w:val="en-US" w:eastAsia="zh-CN"/>
              </w:rPr>
            </w:pPr>
            <w:r>
              <w:rPr>
                <w:rFonts w:hint="eastAsia" w:ascii="Times New Roman" w:hAnsi="Times New Roman" w:cs="Times New Roman"/>
                <w:sz w:val="32"/>
                <w:szCs w:val="40"/>
                <w:vertAlign w:val="baseline"/>
                <w:lang w:val="en-US" w:eastAsia="zh-CN"/>
              </w:rPr>
              <w:t>√</w:t>
            </w:r>
          </w:p>
        </w:tc>
      </w:tr>
    </w:tbl>
    <w:p>
      <w:pPr>
        <w:jc w:val="left"/>
        <w:rPr>
          <w:rFonts w:hint="eastAsia" w:ascii="Times New Roman" w:hAnsi="Times New Roman" w:eastAsia="仿宋" w:cs="Times New Roman"/>
          <w:sz w:val="32"/>
          <w:szCs w:val="32"/>
          <w:lang w:val="en-US" w:eastAsia="zh-CN"/>
        </w:rPr>
      </w:pPr>
    </w:p>
    <w:tbl>
      <w:tblPr>
        <w:tblStyle w:val="7"/>
        <w:tblpPr w:leftFromText="180" w:rightFromText="180" w:vertAnchor="text" w:horzAnchor="margin" w:tblpXSpec="center" w:tblpY="511"/>
        <w:tblW w:w="10506"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15"/>
        <w:gridCol w:w="1651"/>
        <w:gridCol w:w="2327"/>
        <w:gridCol w:w="2041"/>
        <w:gridCol w:w="3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6"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序号</w:t>
            </w:r>
          </w:p>
        </w:tc>
        <w:tc>
          <w:tcPr>
            <w:tcW w:w="834" w:type="dxa"/>
            <w:noWrap w:val="0"/>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检测设备数量</w:t>
            </w:r>
          </w:p>
        </w:tc>
        <w:tc>
          <w:tcPr>
            <w:tcW w:w="1711" w:type="dxa"/>
            <w:noWrap w:val="0"/>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监测点</w:t>
            </w:r>
            <w:r>
              <w:rPr>
                <w:rFonts w:hint="eastAsia" w:ascii="宋体" w:hAnsi="宋体" w:cs="宋体"/>
                <w:color w:val="000000"/>
                <w:kern w:val="0"/>
                <w:sz w:val="24"/>
                <w:szCs w:val="24"/>
              </w:rPr>
              <w:t>医疗机构</w:t>
            </w:r>
            <w:r>
              <w:rPr>
                <w:rFonts w:hint="eastAsia" w:ascii="宋体" w:hAnsi="宋体" w:cs="宋体"/>
                <w:color w:val="000000"/>
                <w:kern w:val="0"/>
                <w:sz w:val="24"/>
                <w:szCs w:val="24"/>
                <w:lang w:eastAsia="zh-CN"/>
              </w:rPr>
              <w:t>名称</w:t>
            </w:r>
          </w:p>
        </w:tc>
        <w:tc>
          <w:tcPr>
            <w:tcW w:w="241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设备名称</w:t>
            </w:r>
          </w:p>
        </w:tc>
        <w:tc>
          <w:tcPr>
            <w:tcW w:w="211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设备类型</w:t>
            </w:r>
          </w:p>
        </w:tc>
        <w:tc>
          <w:tcPr>
            <w:tcW w:w="29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设备型号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834"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c>
          <w:tcPr>
            <w:tcW w:w="1711"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人民医院</w:t>
            </w:r>
          </w:p>
        </w:tc>
        <w:tc>
          <w:tcPr>
            <w:tcW w:w="241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医用电子直线加速器</w:t>
            </w:r>
          </w:p>
        </w:tc>
        <w:tc>
          <w:tcPr>
            <w:tcW w:w="21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lang w:eastAsia="zh-CN"/>
              </w:rPr>
              <w:t>医用电子加速器</w:t>
            </w:r>
          </w:p>
        </w:tc>
        <w:tc>
          <w:tcPr>
            <w:tcW w:w="29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PRECISE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2</w:t>
            </w:r>
          </w:p>
        </w:tc>
        <w:tc>
          <w:tcPr>
            <w:tcW w:w="834" w:type="dxa"/>
            <w:vMerge w:val="restart"/>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6</w:t>
            </w:r>
          </w:p>
        </w:tc>
        <w:tc>
          <w:tcPr>
            <w:tcW w:w="1711"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矿工总医院</w:t>
            </w:r>
          </w:p>
        </w:tc>
        <w:tc>
          <w:tcPr>
            <w:tcW w:w="24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医用直线加速器</w:t>
            </w:r>
          </w:p>
        </w:tc>
        <w:tc>
          <w:tcPr>
            <w:tcW w:w="2115" w:type="dxa"/>
            <w:noWrap w:val="0"/>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医用电子加速器</w:t>
            </w:r>
          </w:p>
        </w:tc>
        <w:tc>
          <w:tcPr>
            <w:tcW w:w="29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Linac+mic+preciseplan+net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3</w:t>
            </w:r>
          </w:p>
        </w:tc>
        <w:tc>
          <w:tcPr>
            <w:tcW w:w="834" w:type="dxa"/>
            <w:vMerge w:val="continue"/>
            <w:noWrap w:val="0"/>
            <w:vAlign w:val="center"/>
          </w:tcPr>
          <w:p>
            <w:pPr>
              <w:widowControl/>
              <w:jc w:val="center"/>
              <w:rPr>
                <w:rFonts w:ascii="宋体" w:hAnsi="宋体" w:cs="宋体"/>
                <w:color w:val="000000"/>
                <w:kern w:val="0"/>
                <w:sz w:val="24"/>
                <w:szCs w:val="24"/>
              </w:rPr>
            </w:pPr>
          </w:p>
        </w:tc>
        <w:tc>
          <w:tcPr>
            <w:tcW w:w="1711"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矿工总医院</w:t>
            </w:r>
          </w:p>
        </w:tc>
        <w:tc>
          <w:tcPr>
            <w:tcW w:w="241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CT</w:t>
            </w:r>
          </w:p>
        </w:tc>
        <w:tc>
          <w:tcPr>
            <w:tcW w:w="2115"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CT机</w:t>
            </w:r>
          </w:p>
        </w:tc>
        <w:tc>
          <w:tcPr>
            <w:tcW w:w="29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TSX-301A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4</w:t>
            </w:r>
          </w:p>
        </w:tc>
        <w:tc>
          <w:tcPr>
            <w:tcW w:w="834" w:type="dxa"/>
            <w:vMerge w:val="continue"/>
            <w:noWrap w:val="0"/>
            <w:vAlign w:val="center"/>
          </w:tcPr>
          <w:p>
            <w:pPr>
              <w:widowControl/>
              <w:jc w:val="center"/>
              <w:rPr>
                <w:rFonts w:ascii="宋体" w:hAnsi="宋体" w:cs="宋体"/>
                <w:color w:val="000000"/>
                <w:kern w:val="0"/>
                <w:sz w:val="24"/>
                <w:szCs w:val="24"/>
              </w:rPr>
            </w:pPr>
          </w:p>
        </w:tc>
        <w:tc>
          <w:tcPr>
            <w:tcW w:w="1711"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矿工总医院</w:t>
            </w:r>
          </w:p>
        </w:tc>
        <w:tc>
          <w:tcPr>
            <w:tcW w:w="241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CR</w:t>
            </w:r>
          </w:p>
        </w:tc>
        <w:tc>
          <w:tcPr>
            <w:tcW w:w="2115" w:type="dxa"/>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CR设备</w:t>
            </w:r>
          </w:p>
        </w:tc>
        <w:tc>
          <w:tcPr>
            <w:tcW w:w="29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Classic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c>
          <w:tcPr>
            <w:tcW w:w="834" w:type="dxa"/>
            <w:vMerge w:val="continue"/>
            <w:noWrap w:val="0"/>
            <w:vAlign w:val="center"/>
          </w:tcPr>
          <w:p>
            <w:pPr>
              <w:widowControl/>
              <w:jc w:val="center"/>
              <w:rPr>
                <w:rFonts w:ascii="宋体" w:hAnsi="宋体" w:cs="宋体"/>
                <w:color w:val="000000"/>
                <w:kern w:val="0"/>
                <w:sz w:val="24"/>
                <w:szCs w:val="24"/>
              </w:rPr>
            </w:pPr>
          </w:p>
        </w:tc>
        <w:tc>
          <w:tcPr>
            <w:tcW w:w="1711"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矿工总医院</w:t>
            </w:r>
          </w:p>
        </w:tc>
        <w:tc>
          <w:tcPr>
            <w:tcW w:w="24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透视机</w:t>
            </w:r>
          </w:p>
        </w:tc>
        <w:tc>
          <w:tcPr>
            <w:tcW w:w="21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X射线透视机</w:t>
            </w:r>
          </w:p>
        </w:tc>
        <w:tc>
          <w:tcPr>
            <w:tcW w:w="29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XHA400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6</w:t>
            </w:r>
          </w:p>
        </w:tc>
        <w:tc>
          <w:tcPr>
            <w:tcW w:w="834" w:type="dxa"/>
            <w:vMerge w:val="continue"/>
            <w:noWrap w:val="0"/>
            <w:vAlign w:val="center"/>
          </w:tcPr>
          <w:p>
            <w:pPr>
              <w:widowControl/>
              <w:jc w:val="center"/>
              <w:rPr>
                <w:rFonts w:ascii="宋体" w:hAnsi="宋体" w:cs="宋体"/>
                <w:color w:val="000000"/>
                <w:kern w:val="0"/>
                <w:sz w:val="24"/>
                <w:szCs w:val="24"/>
              </w:rPr>
            </w:pPr>
          </w:p>
        </w:tc>
        <w:tc>
          <w:tcPr>
            <w:tcW w:w="1711"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矿工总医院</w:t>
            </w:r>
          </w:p>
        </w:tc>
        <w:tc>
          <w:tcPr>
            <w:tcW w:w="24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C型臂X光机</w:t>
            </w:r>
          </w:p>
        </w:tc>
        <w:tc>
          <w:tcPr>
            <w:tcW w:w="2115"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eastAsia="zh-CN"/>
              </w:rPr>
              <w:t>屏片</w:t>
            </w:r>
            <w:r>
              <w:rPr>
                <w:rFonts w:hint="eastAsia" w:ascii="宋体" w:hAnsi="宋体" w:cs="宋体"/>
                <w:color w:val="000000"/>
                <w:kern w:val="0"/>
                <w:sz w:val="24"/>
                <w:szCs w:val="24"/>
                <w:lang w:val="en-US" w:eastAsia="zh-CN"/>
              </w:rPr>
              <w:t>X射线摄影机</w:t>
            </w:r>
          </w:p>
        </w:tc>
        <w:tc>
          <w:tcPr>
            <w:tcW w:w="29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ARCADIS Varic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3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7</w:t>
            </w:r>
          </w:p>
        </w:tc>
        <w:tc>
          <w:tcPr>
            <w:tcW w:w="834" w:type="dxa"/>
            <w:vMerge w:val="continue"/>
            <w:noWrap w:val="0"/>
            <w:vAlign w:val="center"/>
          </w:tcPr>
          <w:p>
            <w:pPr>
              <w:widowControl/>
              <w:jc w:val="center"/>
              <w:rPr>
                <w:rFonts w:ascii="宋体" w:hAnsi="宋体" w:cs="宋体"/>
                <w:color w:val="000000"/>
                <w:kern w:val="0"/>
                <w:sz w:val="24"/>
                <w:szCs w:val="24"/>
              </w:rPr>
            </w:pPr>
          </w:p>
        </w:tc>
        <w:tc>
          <w:tcPr>
            <w:tcW w:w="1711"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矿工总医院</w:t>
            </w:r>
          </w:p>
        </w:tc>
        <w:tc>
          <w:tcPr>
            <w:tcW w:w="24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DSA</w:t>
            </w:r>
          </w:p>
        </w:tc>
        <w:tc>
          <w:tcPr>
            <w:tcW w:w="2115"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DSA设备</w:t>
            </w:r>
          </w:p>
        </w:tc>
        <w:tc>
          <w:tcPr>
            <w:tcW w:w="29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Infinix-I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6" w:type="dxa"/>
            <w:noWrap w:val="0"/>
            <w:vAlign w:val="center"/>
          </w:tcPr>
          <w:p>
            <w:pPr>
              <w:widowControl/>
              <w:jc w:val="center"/>
              <w:rPr>
                <w:rFonts w:hint="eastAsia" w:ascii="宋体" w:hAnsi="宋体" w:cs="宋体"/>
                <w:color w:val="000000"/>
                <w:kern w:val="0"/>
                <w:sz w:val="24"/>
                <w:szCs w:val="24"/>
                <w:lang w:eastAsia="zh-CN"/>
              </w:rPr>
            </w:pPr>
            <w:r>
              <w:rPr>
                <w:rFonts w:hint="eastAsia" w:ascii="宋体" w:hAnsi="宋体" w:cs="宋体"/>
                <w:color w:val="000000"/>
                <w:kern w:val="0"/>
                <w:sz w:val="24"/>
                <w:szCs w:val="24"/>
                <w:lang w:val="en-US" w:eastAsia="zh-CN"/>
              </w:rPr>
              <w:t>8</w:t>
            </w:r>
          </w:p>
        </w:tc>
        <w:tc>
          <w:tcPr>
            <w:tcW w:w="834" w:type="dxa"/>
            <w:noWrap w:val="0"/>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1711"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朔里镇卫生院</w:t>
            </w:r>
          </w:p>
        </w:tc>
        <w:tc>
          <w:tcPr>
            <w:tcW w:w="24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DR</w:t>
            </w:r>
          </w:p>
        </w:tc>
        <w:tc>
          <w:tcPr>
            <w:tcW w:w="2115" w:type="dxa"/>
            <w:noWrap w:val="0"/>
            <w:vAlign w:val="center"/>
          </w:tcPr>
          <w:p>
            <w:pPr>
              <w:widowControl/>
              <w:jc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rPr>
              <w:t>DR</w:t>
            </w:r>
            <w:r>
              <w:rPr>
                <w:rFonts w:hint="eastAsia" w:ascii="宋体" w:hAnsi="宋体" w:cs="宋体"/>
                <w:color w:val="000000"/>
                <w:kern w:val="0"/>
                <w:sz w:val="24"/>
                <w:szCs w:val="24"/>
                <w:lang w:eastAsia="zh-CN"/>
              </w:rPr>
              <w:t>设备</w:t>
            </w:r>
          </w:p>
        </w:tc>
        <w:tc>
          <w:tcPr>
            <w:tcW w:w="29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D82OOA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6"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9</w:t>
            </w:r>
          </w:p>
        </w:tc>
        <w:tc>
          <w:tcPr>
            <w:tcW w:w="834" w:type="dxa"/>
            <w:vMerge w:val="restart"/>
            <w:noWrap w:val="0"/>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1711"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和平医院</w:t>
            </w:r>
          </w:p>
        </w:tc>
        <w:tc>
          <w:tcPr>
            <w:tcW w:w="24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DR</w:t>
            </w:r>
          </w:p>
        </w:tc>
        <w:tc>
          <w:tcPr>
            <w:tcW w:w="211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DR设备</w:t>
            </w:r>
          </w:p>
        </w:tc>
        <w:tc>
          <w:tcPr>
            <w:tcW w:w="2995" w:type="dxa"/>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BRX8500C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6" w:type="dxa"/>
            <w:noWrap w:val="0"/>
            <w:vAlign w:val="center"/>
          </w:tcPr>
          <w:p>
            <w:pPr>
              <w:widowControl/>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10</w:t>
            </w:r>
          </w:p>
        </w:tc>
        <w:tc>
          <w:tcPr>
            <w:tcW w:w="834" w:type="dxa"/>
            <w:vMerge w:val="continue"/>
            <w:noWrap w:val="0"/>
            <w:vAlign w:val="center"/>
          </w:tcPr>
          <w:p>
            <w:pPr>
              <w:widowControl/>
              <w:jc w:val="center"/>
              <w:rPr>
                <w:rFonts w:ascii="宋体" w:hAnsi="宋体" w:cs="宋体"/>
                <w:color w:val="000000"/>
                <w:kern w:val="0"/>
                <w:sz w:val="24"/>
                <w:szCs w:val="24"/>
              </w:rPr>
            </w:pPr>
          </w:p>
        </w:tc>
        <w:tc>
          <w:tcPr>
            <w:tcW w:w="1711"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和平医院</w:t>
            </w:r>
          </w:p>
        </w:tc>
        <w:tc>
          <w:tcPr>
            <w:tcW w:w="241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CT</w:t>
            </w:r>
          </w:p>
        </w:tc>
        <w:tc>
          <w:tcPr>
            <w:tcW w:w="2115" w:type="dxa"/>
            <w:noWrap w:val="0"/>
            <w:vAlign w:val="center"/>
          </w:tcPr>
          <w:p>
            <w:pPr>
              <w:widowControl/>
              <w:jc w:val="center"/>
              <w:rPr>
                <w:rFonts w:ascii="宋体" w:hAnsi="宋体" w:cs="宋体"/>
                <w:kern w:val="0"/>
                <w:sz w:val="24"/>
                <w:szCs w:val="24"/>
              </w:rPr>
            </w:pPr>
            <w:r>
              <w:rPr>
                <w:rFonts w:hint="eastAsia" w:ascii="宋体" w:hAnsi="宋体" w:cs="宋体"/>
                <w:color w:val="000000"/>
                <w:kern w:val="0"/>
                <w:sz w:val="24"/>
                <w:szCs w:val="24"/>
                <w:lang w:val="en-US" w:eastAsia="zh-CN"/>
              </w:rPr>
              <w:t>CT机</w:t>
            </w:r>
          </w:p>
        </w:tc>
        <w:tc>
          <w:tcPr>
            <w:tcW w:w="2995" w:type="dxa"/>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BRTVO CT-325</w:t>
            </w:r>
          </w:p>
        </w:tc>
      </w:tr>
    </w:tbl>
    <w:p>
      <w:pPr>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说明：每类放射设备</w:t>
      </w:r>
      <w:r>
        <w:rPr>
          <w:rFonts w:hint="eastAsia" w:ascii="宋体" w:hAnsi="宋体" w:eastAsia="宋体" w:cs="宋体"/>
          <w:sz w:val="28"/>
          <w:szCs w:val="28"/>
          <w:lang w:eastAsia="zh-CN"/>
        </w:rPr>
        <w:t>监测1台，对放射诊疗设备监测的同时开展放射诊疗场所放射防护监测（没有固定使用机房的移动X射线设备除外）。</w:t>
      </w:r>
    </w:p>
    <w:p>
      <w:pPr>
        <w:numPr>
          <w:ilvl w:val="0"/>
          <w:numId w:val="3"/>
        </w:numPr>
        <w:ind w:left="21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放射诊疗设备质量防护检测指标要求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1982"/>
        <w:gridCol w:w="1103"/>
        <w:gridCol w:w="4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39" w:type="dxa"/>
            <w:noWrap w:val="0"/>
            <w:vAlign w:val="center"/>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序号</w:t>
            </w:r>
          </w:p>
        </w:tc>
        <w:tc>
          <w:tcPr>
            <w:tcW w:w="2476" w:type="dxa"/>
            <w:noWrap w:val="0"/>
            <w:vAlign w:val="center"/>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放射诊疗设备名称</w:t>
            </w:r>
          </w:p>
        </w:tc>
        <w:tc>
          <w:tcPr>
            <w:tcW w:w="1326" w:type="dxa"/>
            <w:noWrap w:val="0"/>
            <w:vAlign w:val="center"/>
          </w:tcPr>
          <w:p>
            <w:pPr>
              <w:jc w:val="center"/>
              <w:rPr>
                <w:rFonts w:hint="eastAsia"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检测</w:t>
            </w:r>
          </w:p>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指标数</w:t>
            </w:r>
          </w:p>
        </w:tc>
        <w:tc>
          <w:tcPr>
            <w:tcW w:w="5978" w:type="dxa"/>
            <w:noWrap w:val="0"/>
            <w:vAlign w:val="center"/>
          </w:tcPr>
          <w:p>
            <w:pPr>
              <w:jc w:val="center"/>
              <w:rPr>
                <w:rFonts w:hint="default" w:ascii="Times New Roman" w:hAnsi="Times New Roman" w:cs="Times New Roman"/>
                <w:sz w:val="28"/>
                <w:szCs w:val="36"/>
                <w:vertAlign w:val="baseline"/>
                <w:lang w:val="en-US" w:eastAsia="zh-CN"/>
              </w:rPr>
            </w:pPr>
            <w:r>
              <w:rPr>
                <w:rFonts w:hint="eastAsia" w:ascii="Times New Roman" w:hAnsi="Times New Roman" w:cs="Times New Roman"/>
                <w:sz w:val="28"/>
                <w:szCs w:val="36"/>
                <w:vertAlign w:val="baseline"/>
                <w:lang w:val="en-US" w:eastAsia="zh-CN"/>
              </w:rPr>
              <w:t>放射诊疗设备检测项目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0619" w:type="dxa"/>
            <w:gridSpan w:val="4"/>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32"/>
                <w:szCs w:val="40"/>
                <w:vertAlign w:val="baseline"/>
                <w:lang w:val="en-US" w:eastAsia="zh-CN"/>
              </w:rPr>
              <w:t>一、放射治疗设备部分：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839"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247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eastAsia="zh-CN"/>
              </w:rPr>
              <w:t>医用电子加速器</w:t>
            </w:r>
          </w:p>
        </w:tc>
        <w:tc>
          <w:tcPr>
            <w:tcW w:w="132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5978"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 射线 7 项指标。</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方形 X 辐射野的均整度;方形 X 辐射野的对称性;辐射野与灯光野重合度;校准点吸收剂量;输出剂量重复性;输出剂量的日稳定性;输出剂量线性。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39"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247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eastAsia="zh-CN"/>
              </w:rPr>
              <w:t>头部伽玛刀</w:t>
            </w:r>
          </w:p>
        </w:tc>
        <w:tc>
          <w:tcPr>
            <w:tcW w:w="132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5978"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辐射野对称性;辐射野与灯光野重合性;半影区宽度;校准点吸收剂量;计时器控制照射偏差;放射源防护屏蔽装置泄漏辐射;机械等中心。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839"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247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钴-60远距离治疗机</w:t>
            </w:r>
          </w:p>
        </w:tc>
        <w:tc>
          <w:tcPr>
            <w:tcW w:w="132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5978"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5项指标：</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定位参考点与照射野中心的距离;焦点计划剂量与实测剂量的相对偏差;焦点剂量率;照射野尺寸偏差;照射野半影宽度。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839"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247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eastAsia="zh-CN"/>
              </w:rPr>
              <w:t>后装治疗机</w:t>
            </w:r>
          </w:p>
        </w:tc>
        <w:tc>
          <w:tcPr>
            <w:tcW w:w="1326" w:type="dxa"/>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5978"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 项指标：</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源活度;源传输到位精确度;放射源累计定位误差;贮源器表面（5cm、100cm）泄漏辐射所致周围剂量当量率;源驻留时间误差;多源系统重复性。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0619" w:type="dxa"/>
            <w:gridSpan w:val="4"/>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32"/>
                <w:szCs w:val="40"/>
                <w:vertAlign w:val="baseline"/>
                <w:lang w:val="en-US" w:eastAsia="zh-CN"/>
              </w:rPr>
              <w:t>二、放射诊断设备部分：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839"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1</w:t>
            </w:r>
          </w:p>
        </w:tc>
        <w:tc>
          <w:tcPr>
            <w:tcW w:w="2476" w:type="dxa"/>
            <w:noWrap w:val="0"/>
            <w:vAlign w:val="center"/>
          </w:tcPr>
          <w:p>
            <w:pPr>
              <w:jc w:val="center"/>
              <w:rPr>
                <w:rFonts w:hint="eastAsia" w:ascii="宋体" w:hAnsi="宋体" w:eastAsia="宋体" w:cs="宋体"/>
                <w:sz w:val="22"/>
                <w:szCs w:val="22"/>
                <w:lang w:eastAsia="zh-CN"/>
              </w:rPr>
            </w:pPr>
            <w:r>
              <w:rPr>
                <w:rFonts w:hint="eastAsia" w:ascii="宋体" w:hAnsi="宋体" w:eastAsia="宋体" w:cs="宋体"/>
                <w:sz w:val="28"/>
                <w:szCs w:val="28"/>
                <w:lang w:eastAsia="zh-CN"/>
              </w:rPr>
              <w:t>屏片X射线摄影机</w:t>
            </w:r>
          </w:p>
        </w:tc>
        <w:tc>
          <w:tcPr>
            <w:tcW w:w="1326"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b/>
                <w:sz w:val="22"/>
                <w:szCs w:val="21"/>
                <w:lang w:eastAsia="zh-CN"/>
              </w:rPr>
              <w:t>9</w:t>
            </w:r>
          </w:p>
        </w:tc>
        <w:tc>
          <w:tcPr>
            <w:tcW w:w="5978" w:type="dxa"/>
            <w:noWrap w:val="0"/>
            <w:vAlign w:val="top"/>
          </w:tcPr>
          <w:p>
            <w:pPr>
              <w:rPr>
                <w:rFonts w:hint="eastAsia" w:ascii="宋体" w:hAnsi="宋体" w:eastAsia="宋体" w:cs="宋体"/>
                <w:sz w:val="24"/>
                <w:szCs w:val="24"/>
                <w:lang w:val="en-US" w:eastAsia="zh-CN"/>
              </w:rPr>
            </w:pPr>
          </w:p>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lang w:val="en-US" w:eastAsia="zh-CN"/>
              </w:rPr>
              <w:t>管电压指示的偏离、输出量重复性、输出量线性、有用线束半值层、自动曝光控制响应、自动曝光控制重复性、有用线束垂直度偏离、光野与照射野中心的偏离、光野与照射野四边的偏离。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839"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2</w:t>
            </w:r>
          </w:p>
        </w:tc>
        <w:tc>
          <w:tcPr>
            <w:tcW w:w="2476" w:type="dxa"/>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Ｘ射线透视机</w:t>
            </w:r>
          </w:p>
        </w:tc>
        <w:tc>
          <w:tcPr>
            <w:tcW w:w="1326" w:type="dxa"/>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5978" w:type="dxa"/>
            <w:noWrap w:val="0"/>
            <w:vAlign w:val="top"/>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透视受检者入射体表空气比释动能率典型值;空间分辨力;低对比分辨力;影像接收器入射屏前空气比释动能率;自动亮度控制。</w:t>
            </w:r>
          </w:p>
          <w:p>
            <w:pP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39" w:type="dxa"/>
            <w:vMerge w:val="restart"/>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3</w:t>
            </w:r>
          </w:p>
        </w:tc>
        <w:tc>
          <w:tcPr>
            <w:tcW w:w="2476" w:type="dxa"/>
            <w:vMerge w:val="restart"/>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DR设备监测</w:t>
            </w:r>
          </w:p>
        </w:tc>
        <w:tc>
          <w:tcPr>
            <w:tcW w:w="1326"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5</w:t>
            </w:r>
          </w:p>
        </w:tc>
        <w:tc>
          <w:tcPr>
            <w:tcW w:w="5978" w:type="dxa"/>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lang w:val="en-US" w:eastAsia="zh-CN"/>
              </w:rPr>
              <w:t xml:space="preserve">通用指标：管电压指示的偏离；输出量重复性；有用线束半值层；有用线束垂直度偏离；光野与照射野四边的偏离。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839" w:type="dxa"/>
            <w:vMerge w:val="continue"/>
            <w:noWrap w:val="0"/>
            <w:vAlign w:val="center"/>
          </w:tcPr>
          <w:p>
            <w:pPr>
              <w:jc w:val="center"/>
              <w:rPr>
                <w:rFonts w:hint="eastAsia" w:ascii="宋体" w:hAnsi="宋体" w:eastAsia="宋体" w:cs="宋体"/>
                <w:sz w:val="24"/>
                <w:szCs w:val="32"/>
                <w:vertAlign w:val="baseline"/>
                <w:lang w:val="en-US" w:eastAsia="zh-CN"/>
              </w:rPr>
            </w:pPr>
          </w:p>
        </w:tc>
        <w:tc>
          <w:tcPr>
            <w:tcW w:w="2476" w:type="dxa"/>
            <w:vMerge w:val="continue"/>
            <w:noWrap w:val="0"/>
            <w:vAlign w:val="center"/>
          </w:tcPr>
          <w:p>
            <w:pPr>
              <w:jc w:val="center"/>
              <w:rPr>
                <w:rFonts w:hint="eastAsia" w:ascii="宋体" w:hAnsi="宋体" w:eastAsia="宋体" w:cs="宋体"/>
                <w:sz w:val="22"/>
                <w:szCs w:val="22"/>
                <w:lang w:eastAsia="zh-CN"/>
              </w:rPr>
            </w:pPr>
          </w:p>
        </w:tc>
        <w:tc>
          <w:tcPr>
            <w:tcW w:w="1326" w:type="dxa"/>
            <w:noWrap w:val="0"/>
            <w:vAlign w:val="center"/>
          </w:tcPr>
          <w:p>
            <w:pPr>
              <w:jc w:val="center"/>
              <w:rPr>
                <w:rFonts w:hint="eastAsia" w:ascii="宋体" w:hAnsi="宋体" w:eastAsia="宋体" w:cs="宋体"/>
                <w:sz w:val="24"/>
                <w:szCs w:val="32"/>
                <w:vertAlign w:val="baseline"/>
                <w:lang w:val="en-US" w:eastAsia="zh-CN"/>
              </w:rPr>
            </w:pPr>
            <w:r>
              <w:rPr>
                <w:rFonts w:hint="eastAsia" w:ascii="宋体" w:hAnsi="宋体" w:eastAsia="宋体" w:cs="宋体"/>
                <w:sz w:val="24"/>
                <w:szCs w:val="32"/>
                <w:vertAlign w:val="baseline"/>
                <w:lang w:val="en-US" w:eastAsia="zh-CN"/>
              </w:rPr>
              <w:t>12</w:t>
            </w:r>
          </w:p>
        </w:tc>
        <w:tc>
          <w:tcPr>
            <w:tcW w:w="5978" w:type="dxa"/>
            <w:noWrap w:val="0"/>
            <w:vAlign w:val="top"/>
          </w:tcPr>
          <w:p>
            <w:pPr>
              <w:rPr>
                <w:rFonts w:hint="eastAsia" w:ascii="宋体" w:hAnsi="宋体" w:eastAsia="宋体" w:cs="宋体"/>
                <w:sz w:val="32"/>
                <w:szCs w:val="40"/>
                <w:vertAlign w:val="baseline"/>
                <w:lang w:val="en-US" w:eastAsia="zh-CN"/>
              </w:rPr>
            </w:pPr>
            <w:r>
              <w:rPr>
                <w:rFonts w:hint="eastAsia" w:ascii="宋体" w:hAnsi="宋体" w:eastAsia="宋体" w:cs="宋体"/>
                <w:sz w:val="24"/>
                <w:szCs w:val="24"/>
                <w:lang w:val="en-US" w:eastAsia="zh-CN"/>
              </w:rPr>
              <w:t xml:space="preserve">专用指标：暗噪声；探测器剂量指示（DDI）；信号传递特性（STP）；响应均匀性；测距误差；残影；伪影；极限空间分辨力；低对比度细节检测；AEC 灵敏度；AEC 电离室之间一致性；AEC 管电压变化一致性。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839" w:type="dxa"/>
            <w:vMerge w:val="restart"/>
            <w:noWrap w:val="0"/>
            <w:vAlign w:val="center"/>
          </w:tcPr>
          <w:p>
            <w:pPr>
              <w:jc w:val="center"/>
              <w:rPr>
                <w:rFonts w:hint="eastAsia" w:ascii="宋体" w:hAnsi="宋体" w:eastAsia="宋体" w:cs="宋体"/>
                <w:sz w:val="32"/>
                <w:szCs w:val="40"/>
                <w:vertAlign w:val="baseline"/>
                <w:lang w:val="en-US" w:eastAsia="zh-CN"/>
              </w:rPr>
            </w:pPr>
            <w:r>
              <w:rPr>
                <w:rFonts w:hint="eastAsia" w:ascii="宋体" w:hAnsi="宋体" w:eastAsia="宋体" w:cs="宋体"/>
                <w:sz w:val="24"/>
                <w:szCs w:val="32"/>
                <w:vertAlign w:val="baseline"/>
                <w:lang w:val="en-US" w:eastAsia="zh-CN"/>
              </w:rPr>
              <w:t>4</w:t>
            </w:r>
          </w:p>
        </w:tc>
        <w:tc>
          <w:tcPr>
            <w:tcW w:w="2476" w:type="dxa"/>
            <w:vMerge w:val="restart"/>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CR设备</w:t>
            </w:r>
          </w:p>
        </w:tc>
        <w:tc>
          <w:tcPr>
            <w:tcW w:w="1326"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5978" w:type="dxa"/>
            <w:noWrap w:val="0"/>
            <w:vAlign w:val="top"/>
          </w:tcPr>
          <w:p>
            <w:pPr>
              <w:pStyle w:val="6"/>
              <w:numPr>
                <w:ilvl w:val="0"/>
                <w:numId w:val="0"/>
              </w:numPr>
              <w:spacing w:before="214"/>
              <w:ind w:left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通用指标 8 项：管电压指示的偏离、输出量重复性、输出量线性、有用线束半值层、自动曝光控制响应、自动曝光控制重复性、有用线  束垂直度偏离、光野与照射野四边的偏离。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39" w:type="dxa"/>
            <w:vMerge w:val="continue"/>
            <w:noWrap w:val="0"/>
            <w:vAlign w:val="center"/>
          </w:tcPr>
          <w:p>
            <w:pPr>
              <w:jc w:val="center"/>
              <w:rPr>
                <w:rFonts w:hint="eastAsia" w:ascii="宋体" w:hAnsi="宋体" w:eastAsia="宋体" w:cs="宋体"/>
                <w:sz w:val="32"/>
                <w:szCs w:val="40"/>
                <w:vertAlign w:val="baseline"/>
                <w:lang w:val="en-US" w:eastAsia="zh-CN"/>
              </w:rPr>
            </w:pPr>
          </w:p>
        </w:tc>
        <w:tc>
          <w:tcPr>
            <w:tcW w:w="2476" w:type="dxa"/>
            <w:vMerge w:val="continue"/>
            <w:noWrap w:val="0"/>
            <w:vAlign w:val="center"/>
          </w:tcPr>
          <w:p>
            <w:pPr>
              <w:jc w:val="center"/>
              <w:rPr>
                <w:rFonts w:hint="eastAsia" w:ascii="宋体" w:hAnsi="宋体" w:eastAsia="宋体" w:cs="宋体"/>
                <w:sz w:val="32"/>
                <w:szCs w:val="32"/>
                <w:lang w:eastAsia="zh-CN"/>
              </w:rPr>
            </w:pPr>
          </w:p>
        </w:tc>
        <w:tc>
          <w:tcPr>
            <w:tcW w:w="1326"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5978" w:type="dxa"/>
            <w:noWrap w:val="0"/>
            <w:vAlign w:val="top"/>
          </w:tcPr>
          <w:p>
            <w:pPr>
              <w:pStyle w:val="6"/>
              <w:numPr>
                <w:ilvl w:val="0"/>
                <w:numId w:val="0"/>
              </w:numPr>
              <w:spacing w:before="214"/>
              <w:ind w:left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专用指标 7 项：IP 暗噪声、IP 响应均匀性和一致性、剂量指示校准、IP 响应线性、空间分辨力与分辨力均匀性、低对比度细节检测、空间距离准确性。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839" w:type="dxa"/>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5</w:t>
            </w:r>
          </w:p>
        </w:tc>
        <w:tc>
          <w:tcPr>
            <w:tcW w:w="2476" w:type="dxa"/>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CT机</w:t>
            </w:r>
          </w:p>
        </w:tc>
        <w:tc>
          <w:tcPr>
            <w:tcW w:w="1326"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5978" w:type="dxa"/>
            <w:noWrap w:val="0"/>
            <w:vAlign w:val="center"/>
          </w:tcPr>
          <w:p>
            <w:pPr>
              <w:pStyle w:val="6"/>
              <w:numPr>
                <w:ilvl w:val="0"/>
                <w:numId w:val="0"/>
              </w:numPr>
              <w:spacing w:before="214"/>
              <w:ind w:leftChars="0"/>
              <w:jc w:val="left"/>
              <w:rPr>
                <w:rFonts w:hint="eastAsia" w:ascii="宋体" w:hAnsi="宋体" w:eastAsia="宋体" w:cs="宋体"/>
                <w:sz w:val="32"/>
                <w:szCs w:val="40"/>
                <w:vertAlign w:val="baseline"/>
                <w:lang w:val="en-US" w:eastAsia="zh-CN"/>
              </w:rPr>
            </w:pPr>
            <w:r>
              <w:rPr>
                <w:rFonts w:hint="eastAsia" w:ascii="宋体" w:hAnsi="宋体" w:eastAsia="宋体" w:cs="宋体"/>
                <w:kern w:val="2"/>
                <w:sz w:val="24"/>
                <w:szCs w:val="24"/>
                <w:lang w:val="en-US" w:eastAsia="zh-CN" w:bidi="ar-SA"/>
              </w:rPr>
              <w:t>诊断床定位精度、定位光精度、重建层厚偏差、CTDIW、CT 值（水）、均匀性、噪声、高对比分辨力、低对比可探测能力。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839" w:type="dxa"/>
            <w:vMerge w:val="restart"/>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6</w:t>
            </w:r>
          </w:p>
        </w:tc>
        <w:tc>
          <w:tcPr>
            <w:tcW w:w="2476" w:type="dxa"/>
            <w:vMerge w:val="restart"/>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乳腺</w:t>
            </w:r>
            <w:r>
              <w:rPr>
                <w:rFonts w:hint="eastAsia" w:ascii="宋体" w:hAnsi="宋体" w:eastAsia="宋体" w:cs="宋体"/>
                <w:sz w:val="28"/>
                <w:szCs w:val="28"/>
                <w:lang w:eastAsia="zh-CN"/>
              </w:rPr>
              <w:t>DR</w:t>
            </w:r>
          </w:p>
        </w:tc>
        <w:tc>
          <w:tcPr>
            <w:tcW w:w="1326"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w:t>
            </w:r>
          </w:p>
        </w:tc>
        <w:tc>
          <w:tcPr>
            <w:tcW w:w="5978"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eastAsia" w:ascii="宋体" w:hAnsi="宋体" w:eastAsia="宋体" w:cs="宋体"/>
                <w:sz w:val="32"/>
                <w:szCs w:val="40"/>
                <w:vertAlign w:val="baseline"/>
                <w:lang w:val="en-US" w:eastAsia="zh-CN"/>
              </w:rPr>
            </w:pPr>
            <w:r>
              <w:rPr>
                <w:rFonts w:hint="eastAsia" w:ascii="宋体" w:hAnsi="宋体" w:eastAsia="宋体" w:cs="宋体"/>
                <w:kern w:val="2"/>
                <w:sz w:val="24"/>
                <w:szCs w:val="24"/>
                <w:lang w:val="en-US" w:eastAsia="zh-CN" w:bidi="ar-SA"/>
              </w:rPr>
              <w:t>通用指标 8 项：胸壁侧照射野准直、管电压指示的偏离、输出量重复性、乳腺平均剂量、半值层(HVL)、特定辐射输出量、自动曝光控制重复性、光野与照射野一致性。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39" w:type="dxa"/>
            <w:vMerge w:val="continue"/>
            <w:noWrap w:val="0"/>
            <w:vAlign w:val="center"/>
          </w:tcPr>
          <w:p>
            <w:pPr>
              <w:jc w:val="center"/>
              <w:rPr>
                <w:rFonts w:hint="eastAsia" w:ascii="宋体" w:hAnsi="宋体" w:eastAsia="宋体" w:cs="宋体"/>
                <w:sz w:val="28"/>
                <w:szCs w:val="36"/>
                <w:vertAlign w:val="baseline"/>
                <w:lang w:val="en-US" w:eastAsia="zh-CN"/>
              </w:rPr>
            </w:pPr>
          </w:p>
        </w:tc>
        <w:tc>
          <w:tcPr>
            <w:tcW w:w="2476" w:type="dxa"/>
            <w:vMerge w:val="continue"/>
            <w:noWrap w:val="0"/>
            <w:vAlign w:val="center"/>
          </w:tcPr>
          <w:p>
            <w:pPr>
              <w:jc w:val="center"/>
              <w:rPr>
                <w:rFonts w:hint="eastAsia" w:ascii="宋体" w:hAnsi="宋体" w:eastAsia="宋体" w:cs="宋体"/>
                <w:sz w:val="28"/>
                <w:szCs w:val="28"/>
                <w:lang w:eastAsia="zh-CN"/>
              </w:rPr>
            </w:pPr>
          </w:p>
        </w:tc>
        <w:tc>
          <w:tcPr>
            <w:tcW w:w="1326"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p>
        </w:tc>
        <w:tc>
          <w:tcPr>
            <w:tcW w:w="5978" w:type="dxa"/>
            <w:noWrap w:val="0"/>
            <w:vAlign w:val="center"/>
          </w:tcPr>
          <w:p>
            <w:pPr>
              <w:jc w:val="left"/>
              <w:rPr>
                <w:rFonts w:hint="eastAsia" w:ascii="宋体" w:hAnsi="宋体" w:eastAsia="宋体" w:cs="宋体"/>
                <w:sz w:val="32"/>
                <w:szCs w:val="40"/>
                <w:vertAlign w:val="baseline"/>
                <w:lang w:val="en-US" w:eastAsia="zh-CN"/>
              </w:rPr>
            </w:pPr>
            <w:r>
              <w:rPr>
                <w:rFonts w:hint="eastAsia" w:ascii="宋体" w:hAnsi="宋体" w:eastAsia="宋体" w:cs="宋体"/>
                <w:kern w:val="2"/>
                <w:sz w:val="24"/>
                <w:szCs w:val="24"/>
                <w:lang w:val="en-US" w:eastAsia="zh-CN" w:bidi="ar-SA"/>
              </w:rPr>
              <w:t>专用指标 5 项：影像接收器响应、影像接收器均匀性、伪影、高对比分辨力、对比度细节阈值。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9" w:type="dxa"/>
            <w:vMerge w:val="restart"/>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7</w:t>
            </w:r>
          </w:p>
        </w:tc>
        <w:tc>
          <w:tcPr>
            <w:tcW w:w="2476" w:type="dxa"/>
            <w:vMerge w:val="restart"/>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DSA设备</w:t>
            </w:r>
          </w:p>
        </w:tc>
        <w:tc>
          <w:tcPr>
            <w:tcW w:w="1326"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p>
        </w:tc>
        <w:tc>
          <w:tcPr>
            <w:tcW w:w="5978" w:type="dxa"/>
            <w:noWrap w:val="0"/>
            <w:vAlign w:val="top"/>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通用指标 5 项：透视受检者入射体表空气比释动能率典型值、空间分辨力、低对比分辨力、影像接收器入射屏前空气比释动能率、自动亮度控制。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39" w:type="dxa"/>
            <w:vMerge w:val="continue"/>
            <w:noWrap w:val="0"/>
            <w:vAlign w:val="center"/>
          </w:tcPr>
          <w:p>
            <w:pPr>
              <w:jc w:val="center"/>
              <w:rPr>
                <w:rFonts w:hint="eastAsia" w:ascii="宋体" w:hAnsi="宋体" w:eastAsia="宋体" w:cs="宋体"/>
                <w:sz w:val="28"/>
                <w:szCs w:val="36"/>
                <w:vertAlign w:val="baseline"/>
                <w:lang w:val="en-US" w:eastAsia="zh-CN"/>
              </w:rPr>
            </w:pPr>
          </w:p>
        </w:tc>
        <w:tc>
          <w:tcPr>
            <w:tcW w:w="2476" w:type="dxa"/>
            <w:vMerge w:val="continue"/>
            <w:noWrap w:val="0"/>
            <w:vAlign w:val="center"/>
          </w:tcPr>
          <w:p>
            <w:pPr>
              <w:jc w:val="center"/>
              <w:rPr>
                <w:rFonts w:hint="eastAsia" w:ascii="宋体" w:hAnsi="宋体" w:eastAsia="宋体" w:cs="宋体"/>
                <w:sz w:val="28"/>
                <w:szCs w:val="28"/>
                <w:lang w:eastAsia="zh-CN"/>
              </w:rPr>
            </w:pPr>
          </w:p>
        </w:tc>
        <w:tc>
          <w:tcPr>
            <w:tcW w:w="1326"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p>
        </w:tc>
        <w:tc>
          <w:tcPr>
            <w:tcW w:w="5978" w:type="dxa"/>
            <w:noWrap w:val="0"/>
            <w:vAlign w:val="top"/>
          </w:tcPr>
          <w:p>
            <w:pPr>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专用指标 3 项：DSA 动态范围、DSA 对比灵敏度、伪影。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39" w:type="dxa"/>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8</w:t>
            </w:r>
          </w:p>
        </w:tc>
        <w:tc>
          <w:tcPr>
            <w:tcW w:w="2476" w:type="dxa"/>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口内牙科机</w:t>
            </w:r>
          </w:p>
        </w:tc>
        <w:tc>
          <w:tcPr>
            <w:tcW w:w="1326"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w:t>
            </w:r>
          </w:p>
        </w:tc>
        <w:tc>
          <w:tcPr>
            <w:tcW w:w="5978" w:type="dxa"/>
            <w:noWrap w:val="0"/>
            <w:vAlign w:val="top"/>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6 项：管电压指示的偏离、输出量重复性、加载时间偏离、有用线束半值层、高对比分辨力和低对比分辨力。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39" w:type="dxa"/>
            <w:noWrap w:val="0"/>
            <w:vAlign w:val="center"/>
          </w:tcPr>
          <w:p>
            <w:pPr>
              <w:jc w:val="center"/>
              <w:rPr>
                <w:rFonts w:hint="eastAsia" w:ascii="宋体" w:hAnsi="宋体" w:eastAsia="宋体" w:cs="宋体"/>
                <w:sz w:val="28"/>
                <w:szCs w:val="36"/>
                <w:vertAlign w:val="baseline"/>
                <w:lang w:val="en-US" w:eastAsia="zh-CN"/>
              </w:rPr>
            </w:pPr>
            <w:r>
              <w:rPr>
                <w:rFonts w:hint="eastAsia" w:ascii="宋体" w:hAnsi="宋体" w:eastAsia="宋体" w:cs="宋体"/>
                <w:sz w:val="28"/>
                <w:szCs w:val="36"/>
                <w:vertAlign w:val="baseline"/>
                <w:lang w:val="en-US" w:eastAsia="zh-CN"/>
              </w:rPr>
              <w:t>9</w:t>
            </w:r>
          </w:p>
        </w:tc>
        <w:tc>
          <w:tcPr>
            <w:tcW w:w="2476" w:type="dxa"/>
            <w:noWrap w:val="0"/>
            <w:vAlign w:val="center"/>
          </w:tcPr>
          <w:p>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全景牙科机</w:t>
            </w:r>
          </w:p>
        </w:tc>
        <w:tc>
          <w:tcPr>
            <w:tcW w:w="1326" w:type="dxa"/>
            <w:noWrap w:val="0"/>
            <w:vAlign w:val="center"/>
          </w:tcPr>
          <w:p>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p>
        </w:tc>
        <w:tc>
          <w:tcPr>
            <w:tcW w:w="5978" w:type="dxa"/>
            <w:noWrap w:val="0"/>
            <w:vAlign w:val="top"/>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5 项：管电压指示的偏离、加载时间偏离、有用线束半值层、高对比分辨力和低对比分辨力。 </w:t>
            </w:r>
          </w:p>
        </w:tc>
      </w:tr>
    </w:tbl>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说明：</w:t>
      </w:r>
    </w:p>
    <w:p>
      <w:pPr>
        <w:pStyle w:val="2"/>
        <w:numPr>
          <w:ilvl w:val="0"/>
          <w:numId w:val="0"/>
        </w:numPr>
        <w:ind w:left="210" w:firstLine="0"/>
        <w:rPr>
          <w:rFonts w:hint="eastAsia" w:ascii="宋体" w:hAnsi="宋体" w:eastAsia="宋体" w:cs="宋体"/>
          <w:sz w:val="24"/>
          <w:szCs w:val="24"/>
          <w:lang w:eastAsia="zh-CN"/>
        </w:rPr>
      </w:pPr>
      <w:r>
        <w:rPr>
          <w:rFonts w:hint="eastAsia" w:ascii="宋体" w:hAnsi="宋体" w:eastAsia="宋体" w:cs="宋体"/>
          <w:sz w:val="24"/>
          <w:szCs w:val="24"/>
          <w:lang w:val="en-US" w:eastAsia="zh-CN"/>
        </w:rPr>
        <w:t>每类放射设备</w:t>
      </w:r>
      <w:r>
        <w:rPr>
          <w:rFonts w:hint="eastAsia" w:ascii="宋体" w:hAnsi="宋体" w:eastAsia="宋体" w:cs="宋体"/>
          <w:sz w:val="24"/>
          <w:szCs w:val="24"/>
          <w:lang w:eastAsia="zh-CN"/>
        </w:rPr>
        <w:t>监测1台，对放射诊疗设备监测的同时开展放射诊疗场所放射防护监测（没有固定使用机房的移动X射线设备除外）。</w:t>
      </w:r>
    </w:p>
    <w:p>
      <w:pPr>
        <w:pStyle w:val="2"/>
        <w:numPr>
          <w:ilvl w:val="0"/>
          <w:numId w:val="0"/>
        </w:numPr>
        <w:ind w:left="210" w:firstLine="0"/>
        <w:rPr>
          <w:rFonts w:hint="eastAsia" w:ascii="宋体" w:hAnsi="宋体" w:eastAsia="宋体" w:cs="宋体"/>
          <w:sz w:val="24"/>
          <w:szCs w:val="24"/>
          <w:lang w:val="en-US" w:eastAsia="zh-CN"/>
        </w:rPr>
      </w:pPr>
    </w:p>
    <w:p>
      <w:pPr>
        <w:pStyle w:val="2"/>
        <w:numPr>
          <w:ilvl w:val="0"/>
          <w:numId w:val="0"/>
        </w:numPr>
        <w:ind w:left="210" w:firstLine="0"/>
        <w:rPr>
          <w:rFonts w:hint="eastAsia" w:ascii="宋体" w:hAnsi="宋体" w:eastAsia="宋体" w:cs="宋体"/>
          <w:sz w:val="24"/>
          <w:szCs w:val="24"/>
          <w:lang w:val="en-US" w:eastAsia="zh-CN"/>
        </w:rPr>
      </w:pPr>
    </w:p>
    <w:p>
      <w:pPr>
        <w:pStyle w:val="2"/>
        <w:numPr>
          <w:ilvl w:val="0"/>
          <w:numId w:val="0"/>
        </w:numPr>
        <w:ind w:left="210" w:firstLine="0"/>
        <w:rPr>
          <w:rFonts w:hint="default" w:ascii="宋体" w:hAnsi="宋体" w:eastAsia="宋体" w:cs="宋体"/>
          <w:b/>
          <w:bCs/>
          <w:kern w:val="0"/>
          <w:sz w:val="24"/>
          <w:szCs w:val="24"/>
          <w:lang w:val="en-US" w:eastAsia="zh-CN"/>
        </w:rPr>
      </w:pPr>
      <w:r>
        <w:rPr>
          <w:rFonts w:hint="eastAsia" w:ascii="宋体" w:hAnsi="宋体" w:eastAsia="宋体" w:cs="宋体"/>
          <w:b/>
          <w:bCs/>
          <w:sz w:val="24"/>
          <w:szCs w:val="24"/>
          <w:lang w:val="en-US" w:eastAsia="zh-CN"/>
        </w:rPr>
        <w:t>3、放射诊疗设备质量防护检测检测依据及检测方法</w:t>
      </w:r>
    </w:p>
    <w:tbl>
      <w:tblPr>
        <w:tblStyle w:val="8"/>
        <w:tblW w:w="10035" w:type="dxa"/>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2145"/>
        <w:gridCol w:w="6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放射诊疗</w:t>
            </w:r>
          </w:p>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设备名称</w:t>
            </w:r>
          </w:p>
        </w:tc>
        <w:tc>
          <w:tcPr>
            <w:tcW w:w="697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检测依据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0035" w:type="dxa"/>
            <w:gridSpan w:val="3"/>
            <w:noWrap w:val="0"/>
            <w:vAlign w:val="top"/>
          </w:tcPr>
          <w:p>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一、放射治疗设备部分：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医用电子加速器</w:t>
            </w:r>
          </w:p>
        </w:tc>
        <w:tc>
          <w:tcPr>
            <w:tcW w:w="6975" w:type="dxa"/>
            <w:noWrap w:val="0"/>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1、《医用电子加速器性能和试验方法》（GB 15213-2016）、</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2、《电子加速器放射治疗放射防护要求》（GBZ126-2011)、</w:t>
            </w:r>
          </w:p>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3、《医用电子直线加速器质量控制检测规范》(WS 674-2020)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头部伽玛刀</w:t>
            </w:r>
          </w:p>
        </w:tc>
        <w:tc>
          <w:tcPr>
            <w:tcW w:w="6975" w:type="dxa"/>
            <w:noWrap w:val="0"/>
            <w:vAlign w:val="center"/>
          </w:tcPr>
          <w:p>
            <w:pPr>
              <w:numPr>
                <w:ilvl w:val="0"/>
                <w:numId w:val="4"/>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《X、γ射线立体定向放射治疗系统质量控制检测规范》</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(WS 582-2017)、</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2、《X、γ射线立体定向外科治疗放射卫生防护标准》(GBZ168-2005)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钴-60远距离治疗机</w:t>
            </w:r>
          </w:p>
        </w:tc>
        <w:tc>
          <w:tcPr>
            <w:tcW w:w="6975" w:type="dxa"/>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1、《医用γ射束远距治疗防护与安全标准》(GBZ161-2004)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14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后装治疗机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1、《后装γ源近距离治疗质量控制检测规范》(WS262-2017)、</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2、《后装γ源近距离治疗放射防护要求》(GBZ121-2017)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0035" w:type="dxa"/>
            <w:gridSpan w:val="3"/>
            <w:noWrap w:val="0"/>
            <w:vAlign w:val="top"/>
          </w:tcPr>
          <w:p>
            <w:p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二、放射诊断设备部分：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屏片X射线摄影机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《医用常规 X 射线诊断设备质量控制检测规范》（WS 76-2017）。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Ｘ射线透视机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《医用常规 X 射线诊断设备质量控制检测规范》（WS 76-2017）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DR设备监测</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《医用数字 X 射线摄影（DR）系统质量控制检测规范》（WS 521-2017）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CR设备</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《计算机 X 射线摄影（CR）质量控制检测规范》（WS 520-2017）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CT机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 射线计算机断层摄影装置质量保证检测规范》（WS519-2019）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乳腺</w:t>
            </w:r>
            <w:r>
              <w:rPr>
                <w:rFonts w:hint="eastAsia" w:ascii="宋体" w:hAnsi="宋体" w:eastAsia="宋体" w:cs="宋体"/>
                <w:sz w:val="24"/>
                <w:szCs w:val="24"/>
                <w:lang w:eastAsia="zh-CN"/>
              </w:rPr>
              <w:t>DR</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《乳腺数字 X 射线摄影系统质量控制检测规范》（WS 522-2017）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DSA设备</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《医用常规 X 射线诊断设备质量控制检测规范》（WS 76-2017）和附件4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口内牙科机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《牙科 X 射线设备质量控制检测规范》（WS 581-2017）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15"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2145" w:type="dxa"/>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全景牙科机</w:t>
            </w:r>
          </w:p>
        </w:tc>
        <w:tc>
          <w:tcPr>
            <w:tcW w:w="6975" w:type="dxa"/>
            <w:noWrap w:val="0"/>
            <w:vAlign w:val="center"/>
          </w:tcPr>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《牙科 X 射线设备质量控制检测规范》（WS 581-2017）</w:t>
            </w:r>
          </w:p>
        </w:tc>
      </w:tr>
    </w:tbl>
    <w:p>
      <w:pPr>
        <w:keepNext w:val="0"/>
        <w:keepLines w:val="0"/>
        <w:pageBreakBefore w:val="0"/>
        <w:widowControl w:val="0"/>
        <w:kinsoku/>
        <w:wordWrap/>
        <w:overflowPunct/>
        <w:topLinePunct w:val="0"/>
        <w:autoSpaceDE w:val="0"/>
        <w:autoSpaceDN w:val="0"/>
        <w:bidi w:val="0"/>
        <w:adjustRightInd/>
        <w:snapToGrid/>
        <w:spacing w:line="360" w:lineRule="auto"/>
        <w:ind w:right="6" w:firstLine="0" w:firstLineChars="0"/>
        <w:textAlignment w:val="auto"/>
        <w:rPr>
          <w:rFonts w:hint="default" w:ascii="Times New Roman" w:hAnsi="Times New Roman" w:eastAsia="宋体" w:cs="Times New Roman"/>
          <w:b/>
          <w:bCs/>
          <w:kern w:val="2"/>
          <w:sz w:val="32"/>
          <w:szCs w:val="32"/>
          <w:lang w:val="en-US" w:eastAsia="zh-CN" w:bidi="ar-SA"/>
        </w:rPr>
      </w:pPr>
      <w:r>
        <w:rPr>
          <w:rFonts w:hint="eastAsia"/>
          <w:b/>
          <w:bCs/>
          <w:sz w:val="24"/>
          <w:szCs w:val="24"/>
          <w:lang w:val="en-US" w:eastAsia="zh-CN"/>
        </w:rPr>
        <w:t>检测方法：</w:t>
      </w:r>
      <w:r>
        <w:rPr>
          <w:rFonts w:hint="default" w:ascii="Times New Roman" w:hAnsi="Times New Roman" w:eastAsia="宋体" w:cs="Times New Roman"/>
          <w:b/>
          <w:bCs/>
          <w:kern w:val="2"/>
          <w:sz w:val="24"/>
          <w:szCs w:val="24"/>
          <w:lang w:val="en-US" w:eastAsia="zh-CN" w:bidi="ar-SA"/>
        </w:rPr>
        <w:t>DSA 设备专用检测项目检测方法</w:t>
      </w:r>
      <w:r>
        <w:rPr>
          <w:rFonts w:hint="default" w:ascii="Times New Roman" w:hAnsi="Times New Roman" w:eastAsia="宋体" w:cs="Times New Roman"/>
          <w:b w:val="0"/>
          <w:bCs w:val="0"/>
          <w:kern w:val="2"/>
          <w:sz w:val="24"/>
          <w:szCs w:val="24"/>
          <w:lang w:val="en-US" w:eastAsia="zh-CN" w:bidi="ar-SA"/>
        </w:rPr>
        <w:t xml:space="preserve"> </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DSA 动态范围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（1）将性能模体水平放置在诊断床上，调整焦点—影像接收器距离（SID）为系统允许的最小值，设置影像视野（FOV）为系统允许的最大尺寸，调节球管角度使射线垂直入射模体表面。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（2）在透视状态下进行定位观察，前后左右移动诊断床，使模体在视野的中心，调整限束器使得照射野与模体大小一致。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（3）采用自动控制模式，选择 DSA 程序进行减影，采集模体的影像作为蒙片。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（4）当蒙片影像采集完，推动模体的血管插件模块，采集减影影像。通常蒙片与减影之间可选3 s～5 s 延迟时间。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（5）观察减影后的影像，调节窗宽和窗位使影像显示最佳，0.4 mm 血管模拟组件可见的灰阶数即为DSA 动态范围。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注：为减少检测人员的辐射剂量，宜使用电动无线遥控体模推进器或气动推进器，使检测人员可以远程控制体模运动。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2)DSA 对比灵敏度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（1）测试步骤与 DSA 动态范围的测试基本一致。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（2）用同样的方法得到减影图像后，观察图像，得到灰阶上每一个血管模拟结构均可见的阶梯计数，即为DSA 对比灵敏度。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（3）记录减影影像中，最薄灰阶（0.2 mm 灰阶）上是否所有血管可见。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3)伪影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（1）检测步骤与 DSA 动态范围的检测基本一致。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（2）为了检测伪影的时间依赖性，伪影检测时的持续时间应以每秒一帧图像的条件下进行。 </w:t>
      </w:r>
    </w:p>
    <w:p>
      <w:pPr>
        <w:keepNext w:val="0"/>
        <w:keepLines w:val="0"/>
        <w:pageBreakBefore w:val="0"/>
        <w:widowControl w:val="0"/>
        <w:kinsoku/>
        <w:wordWrap/>
        <w:overflowPunct/>
        <w:topLinePunct w:val="0"/>
        <w:autoSpaceDE w:val="0"/>
        <w:autoSpaceDN w:val="0"/>
        <w:bidi w:val="0"/>
        <w:adjustRightInd/>
        <w:snapToGrid/>
        <w:spacing w:line="360" w:lineRule="auto"/>
        <w:ind w:right="6" w:firstLine="464" w:firstLineChars="200"/>
        <w:textAlignment w:val="auto"/>
        <w:rPr>
          <w:rFonts w:hint="default" w:ascii="Times New Roman" w:hAnsi="Times New Roman" w:eastAsia="宋体" w:cs="Times New Roman"/>
          <w:b w:val="0"/>
          <w:bCs w:val="0"/>
          <w:spacing w:val="-4"/>
          <w:sz w:val="24"/>
          <w:szCs w:val="24"/>
          <w:lang w:val="en-US" w:eastAsia="zh-CN" w:bidi="ar-SA"/>
        </w:rPr>
      </w:pPr>
      <w:r>
        <w:rPr>
          <w:rFonts w:hint="default" w:ascii="Times New Roman" w:hAnsi="Times New Roman" w:eastAsia="宋体" w:cs="Times New Roman"/>
          <w:b w:val="0"/>
          <w:bCs w:val="0"/>
          <w:spacing w:val="-4"/>
          <w:sz w:val="24"/>
          <w:szCs w:val="24"/>
          <w:lang w:val="en-US" w:eastAsia="zh-CN" w:bidi="ar-SA"/>
        </w:rPr>
        <w:t xml:space="preserve">（3）将性能模体放置在诊断床上，选择 DSA 程序进行减影，并持续10 s～20 s。然后停止曝光，观察图像中是否有伪影并记录。 </w:t>
      </w:r>
    </w:p>
    <w:p>
      <w:pPr>
        <w:rPr>
          <w:rFonts w:hint="default"/>
          <w:lang w:val="en-US"/>
        </w:rPr>
      </w:pPr>
      <w:r>
        <w:rPr>
          <w:rFonts w:hint="default" w:ascii="Times New Roman" w:hAnsi="Times New Roman" w:eastAsia="宋体" w:cs="Times New Roman"/>
          <w:b w:val="0"/>
          <w:bCs w:val="0"/>
          <w:spacing w:val="-4"/>
          <w:sz w:val="24"/>
          <w:szCs w:val="24"/>
          <w:lang w:val="en-US" w:eastAsia="zh-CN" w:bidi="ar-SA"/>
        </w:rPr>
        <w:t>（4）期间应使 DSA 体模中的模拟血管运动并产生位移，检查减影得到的图像上是否有伪影存在，并详细描述伪影的外观及可能产生的来源。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9A194B"/>
    <w:multiLevelType w:val="singleLevel"/>
    <w:tmpl w:val="909A194B"/>
    <w:lvl w:ilvl="0" w:tentative="0">
      <w:start w:val="1"/>
      <w:numFmt w:val="decimal"/>
      <w:suff w:val="nothing"/>
      <w:lvlText w:val="%1、"/>
      <w:lvlJc w:val="left"/>
    </w:lvl>
  </w:abstractNum>
  <w:abstractNum w:abstractNumId="1">
    <w:nsid w:val="C324E6C8"/>
    <w:multiLevelType w:val="singleLevel"/>
    <w:tmpl w:val="C324E6C8"/>
    <w:lvl w:ilvl="0" w:tentative="0">
      <w:start w:val="1"/>
      <w:numFmt w:val="decimal"/>
      <w:suff w:val="nothing"/>
      <w:lvlText w:val="%1、"/>
      <w:lvlJc w:val="left"/>
    </w:lvl>
  </w:abstractNum>
  <w:abstractNum w:abstractNumId="2">
    <w:nsid w:val="0BBD0119"/>
    <w:multiLevelType w:val="multilevel"/>
    <w:tmpl w:val="0BBD0119"/>
    <w:lvl w:ilvl="0" w:tentative="0">
      <w:start w:val="1"/>
      <w:numFmt w:val="chineseCountingThousand"/>
      <w:pStyle w:val="4"/>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4142DC73"/>
    <w:multiLevelType w:val="singleLevel"/>
    <w:tmpl w:val="4142DC73"/>
    <w:lvl w:ilvl="0" w:tentative="0">
      <w:start w:val="1"/>
      <w:numFmt w:val="decimal"/>
      <w:suff w:val="space"/>
      <w:lvlText w:val="%1)"/>
      <w:lvlJc w:val="left"/>
    </w:lvl>
  </w:abstractNum>
  <w:abstractNum w:abstractNumId="4">
    <w:nsid w:val="75C08CD1"/>
    <w:multiLevelType w:val="singleLevel"/>
    <w:tmpl w:val="75C08CD1"/>
    <w:lvl w:ilvl="0" w:tentative="0">
      <w:start w:val="5"/>
      <w:numFmt w:val="chineseCounting"/>
      <w:suff w:val="nothing"/>
      <w:lvlText w:val="%1、"/>
      <w:lvlJc w:val="left"/>
      <w:rPr>
        <w:rFonts w:hint="eastAsia"/>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DC755D"/>
    <w:rsid w:val="41941ACC"/>
    <w:rsid w:val="4ADC7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paragraph" w:styleId="5">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iPriority w:val="0"/>
    <w:pPr>
      <w:ind w:leftChars="0" w:firstLine="210"/>
    </w:pPr>
    <w:rPr>
      <w:kern w:val="0"/>
      <w:sz w:val="20"/>
    </w:rPr>
  </w:style>
  <w:style w:type="paragraph" w:styleId="3">
    <w:name w:val="Body Text Indent"/>
    <w:basedOn w:val="1"/>
    <w:qFormat/>
    <w:uiPriority w:val="0"/>
    <w:pPr>
      <w:ind w:firstLine="540"/>
    </w:pPr>
    <w:rPr>
      <w:rFonts w:ascii="Times New Roman" w:hAnsi="Times New Roman" w:eastAsia="仿宋_GB2312"/>
      <w:sz w:val="28"/>
      <w:szCs w:val="20"/>
    </w:rPr>
  </w:style>
  <w:style w:type="paragraph" w:styleId="6">
    <w:name w:val="Body Text"/>
    <w:basedOn w:val="1"/>
    <w:qFormat/>
    <w:uiPriority w:val="0"/>
    <w:pPr>
      <w:spacing w:after="120"/>
    </w:pPr>
    <w:rPr>
      <w:rFonts w:ascii="Times New Roman" w:hAnsi="Times New Roman"/>
      <w:szCs w:val="24"/>
    </w:rPr>
  </w:style>
  <w:style w:type="table" w:styleId="8">
    <w:name w:val="Table Grid"/>
    <w:basedOn w:val="7"/>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标题 2 + 宋体 五号 行距: 单倍行距"/>
    <w:basedOn w:val="5"/>
    <w:qFormat/>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2020-08-17T06:41:00Z</dcterms:created>
  <dc:creator>丨′抬头观望那1.袭星光ゞ</dc:creator>
  <cp:lastModifiedBy>丨′抬头观望那1.袭星光ゞ</cp:lastModifiedBy>
  <dcterms:modified xsi:type="dcterms:W3CDTF">2020-08-19T00:53:19Z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