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3FD9BD3">
      <w:pPr>
        <w:spacing w:line="560" w:lineRule="exact"/>
        <w:rPr>
          <w:rFonts w:hint="eastAsia" w:ascii="黑体" w:hAnsi="黑体" w:eastAsia="黑体" w:cs="黑体"/>
          <w:color w:val="auto"/>
          <w:szCs w:val="32"/>
        </w:rPr>
      </w:pPr>
      <w:r>
        <w:rPr>
          <w:rFonts w:hint="eastAsia" w:ascii="黑体" w:hAnsi="黑体" w:eastAsia="黑体" w:cs="黑体"/>
          <w:color w:val="auto"/>
          <w:szCs w:val="32"/>
        </w:rPr>
        <w:t>附件1-1</w:t>
      </w:r>
    </w:p>
    <w:p w14:paraId="70D17462">
      <w:pPr>
        <w:rPr>
          <w:color w:val="auto"/>
        </w:rPr>
      </w:pPr>
    </w:p>
    <w:p w14:paraId="55D16F11">
      <w:pPr>
        <w:rPr>
          <w:color w:val="auto"/>
        </w:rPr>
      </w:pPr>
    </w:p>
    <w:p w14:paraId="4C2F81E9">
      <w:pPr>
        <w:rPr>
          <w:color w:val="auto"/>
        </w:rPr>
      </w:pPr>
    </w:p>
    <w:p w14:paraId="054A8B1B">
      <w:pPr>
        <w:rPr>
          <w:color w:val="auto"/>
        </w:rPr>
      </w:pPr>
    </w:p>
    <w:p w14:paraId="498E511B">
      <w:pPr>
        <w:rPr>
          <w:color w:val="auto"/>
        </w:rPr>
      </w:pPr>
    </w:p>
    <w:p w14:paraId="39A55A2B">
      <w:pPr>
        <w:rPr>
          <w:color w:val="auto"/>
        </w:rPr>
      </w:pPr>
    </w:p>
    <w:p w14:paraId="4BB5BFCE">
      <w:pPr>
        <w:rPr>
          <w:color w:val="auto"/>
        </w:rPr>
      </w:pPr>
    </w:p>
    <w:p w14:paraId="749ED83C">
      <w:pPr>
        <w:rPr>
          <w:color w:val="auto"/>
        </w:rPr>
      </w:pPr>
    </w:p>
    <w:p w14:paraId="3E5E70E5">
      <w:pPr>
        <w:spacing w:line="560" w:lineRule="exact"/>
        <w:jc w:val="center"/>
        <w:rPr>
          <w:rFonts w:ascii="TimesNewRoman" w:hAnsi="TimesNewRoman" w:eastAsia="华文中宋" w:cs="TimesNewRoman"/>
          <w:b/>
          <w:color w:val="auto"/>
          <w:sz w:val="44"/>
          <w:szCs w:val="44"/>
        </w:rPr>
      </w:pPr>
      <w:r>
        <w:rPr>
          <w:rFonts w:hint="eastAsia" w:ascii="TimesNewRoman" w:hAnsi="TimesNewRoman" w:eastAsia="华文中宋" w:cs="TimesNewRoman"/>
          <w:b/>
          <w:color w:val="auto"/>
          <w:sz w:val="44"/>
          <w:szCs w:val="44"/>
        </w:rPr>
        <w:t>淮北市疾病预防控制中心</w:t>
      </w:r>
      <w:r>
        <w:rPr>
          <w:rFonts w:hint="eastAsia" w:ascii="华文中宋" w:hAnsi="华文中宋" w:eastAsia="华文中宋" w:cs="华文中宋"/>
          <w:b/>
          <w:color w:val="auto"/>
          <w:sz w:val="44"/>
          <w:szCs w:val="44"/>
        </w:rPr>
        <w:t>2025</w:t>
      </w:r>
      <w:r>
        <w:rPr>
          <w:rFonts w:hint="eastAsia" w:ascii="TimesNewRoman" w:hAnsi="TimesNewRoman" w:eastAsia="华文中宋" w:cs="TimesNewRoman"/>
          <w:b/>
          <w:color w:val="auto"/>
          <w:sz w:val="44"/>
          <w:szCs w:val="44"/>
        </w:rPr>
        <w:t>年</w:t>
      </w:r>
    </w:p>
    <w:p w14:paraId="6B6F1304">
      <w:pPr>
        <w:spacing w:line="560" w:lineRule="exact"/>
        <w:jc w:val="center"/>
        <w:rPr>
          <w:rFonts w:ascii="TimesNewRoman" w:hAnsi="TimesNewRoman" w:eastAsia="华文中宋" w:cs="TimesNewRoman"/>
          <w:b/>
          <w:color w:val="auto"/>
          <w:sz w:val="44"/>
          <w:szCs w:val="44"/>
        </w:rPr>
      </w:pPr>
      <w:r>
        <w:rPr>
          <w:rFonts w:hint="eastAsia" w:ascii="TimesNewRoman" w:hAnsi="TimesNewRoman" w:eastAsia="华文中宋" w:cs="TimesNewRoman"/>
          <w:b/>
          <w:color w:val="auto"/>
          <w:sz w:val="44"/>
          <w:szCs w:val="44"/>
        </w:rPr>
        <w:t>单位预算</w:t>
      </w:r>
    </w:p>
    <w:p w14:paraId="2C113FE2">
      <w:pPr>
        <w:rPr>
          <w:color w:val="auto"/>
        </w:rPr>
      </w:pPr>
    </w:p>
    <w:p w14:paraId="0E06EF0A">
      <w:pPr>
        <w:rPr>
          <w:color w:val="auto"/>
        </w:rPr>
      </w:pPr>
    </w:p>
    <w:p w14:paraId="0A3C24A5">
      <w:pPr>
        <w:rPr>
          <w:color w:val="auto"/>
        </w:rPr>
      </w:pPr>
    </w:p>
    <w:p w14:paraId="5E1038D7">
      <w:pPr>
        <w:rPr>
          <w:color w:val="auto"/>
        </w:rPr>
      </w:pPr>
    </w:p>
    <w:p w14:paraId="342F8621">
      <w:pPr>
        <w:rPr>
          <w:color w:val="auto"/>
        </w:rPr>
      </w:pPr>
    </w:p>
    <w:p w14:paraId="20873F65">
      <w:pPr>
        <w:rPr>
          <w:color w:val="auto"/>
        </w:rPr>
      </w:pPr>
    </w:p>
    <w:p w14:paraId="36ECC5C0">
      <w:pPr>
        <w:rPr>
          <w:color w:val="auto"/>
        </w:rPr>
      </w:pPr>
    </w:p>
    <w:p w14:paraId="5E5F1D94">
      <w:pPr>
        <w:rPr>
          <w:color w:val="auto"/>
        </w:rPr>
      </w:pPr>
    </w:p>
    <w:p w14:paraId="0736981F">
      <w:pPr>
        <w:rPr>
          <w:color w:val="auto"/>
        </w:rPr>
      </w:pPr>
    </w:p>
    <w:p w14:paraId="7F1D72EE">
      <w:pPr>
        <w:rPr>
          <w:color w:val="auto"/>
        </w:rPr>
      </w:pPr>
    </w:p>
    <w:p w14:paraId="2A7CDC77">
      <w:pPr>
        <w:rPr>
          <w:color w:val="auto"/>
        </w:rPr>
      </w:pPr>
    </w:p>
    <w:p w14:paraId="6E1054D7">
      <w:pPr>
        <w:rPr>
          <w:color w:val="auto"/>
        </w:rPr>
      </w:pPr>
    </w:p>
    <w:p w14:paraId="1193A1CA">
      <w:pPr>
        <w:rPr>
          <w:color w:val="auto"/>
        </w:rPr>
      </w:pPr>
    </w:p>
    <w:p w14:paraId="0683F15E">
      <w:pPr>
        <w:rPr>
          <w:color w:val="auto"/>
        </w:rPr>
      </w:pPr>
    </w:p>
    <w:p w14:paraId="5187CF36">
      <w:pPr>
        <w:rPr>
          <w:color w:val="auto"/>
        </w:rPr>
      </w:pPr>
    </w:p>
    <w:p w14:paraId="0F49D957">
      <w:pPr>
        <w:rPr>
          <w:color w:val="auto"/>
        </w:rPr>
      </w:pPr>
    </w:p>
    <w:p w14:paraId="44C1C9D6">
      <w:pPr>
        <w:rPr>
          <w:color w:val="auto"/>
        </w:rPr>
      </w:pPr>
    </w:p>
    <w:p w14:paraId="58FF165D">
      <w:pPr>
        <w:rPr>
          <w:color w:val="auto"/>
        </w:rPr>
      </w:pPr>
    </w:p>
    <w:p w14:paraId="2B45031F">
      <w:pPr>
        <w:rPr>
          <w:color w:val="auto"/>
        </w:rPr>
      </w:pPr>
    </w:p>
    <w:p w14:paraId="1A60F3D5">
      <w:pPr>
        <w:rPr>
          <w:color w:val="auto"/>
        </w:rPr>
      </w:pPr>
    </w:p>
    <w:p w14:paraId="7F30BD15">
      <w:pPr>
        <w:rPr>
          <w:color w:val="auto"/>
        </w:rPr>
      </w:pPr>
    </w:p>
    <w:p w14:paraId="3289B6BF">
      <w:pPr>
        <w:rPr>
          <w:color w:val="auto"/>
        </w:rPr>
      </w:pPr>
    </w:p>
    <w:p w14:paraId="583D305D">
      <w:pPr>
        <w:pStyle w:val="4"/>
        <w:adjustRightInd w:val="0"/>
        <w:snapToGrid w:val="0"/>
        <w:spacing w:line="560" w:lineRule="exact"/>
        <w:jc w:val="center"/>
        <w:rPr>
          <w:rFonts w:ascii="TimesNewRoman" w:hAnsi="TimesNewRoman" w:eastAsia="黑体" w:cs="TimesNewRoman"/>
          <w:bCs/>
          <w:color w:val="auto"/>
          <w:sz w:val="44"/>
          <w:szCs w:val="44"/>
        </w:rPr>
      </w:pPr>
    </w:p>
    <w:p w14:paraId="621BF8A3">
      <w:pPr>
        <w:pStyle w:val="4"/>
        <w:adjustRightInd w:val="0"/>
        <w:snapToGrid w:val="0"/>
        <w:spacing w:line="560" w:lineRule="exact"/>
        <w:jc w:val="center"/>
        <w:rPr>
          <w:rFonts w:hint="eastAsia" w:ascii="黑体" w:hAnsi="黑体" w:eastAsia="黑体" w:cs="黑体"/>
          <w:bCs/>
          <w:color w:val="auto"/>
          <w:sz w:val="44"/>
          <w:szCs w:val="44"/>
        </w:rPr>
      </w:pPr>
      <w:r>
        <w:rPr>
          <w:rFonts w:hint="eastAsia" w:ascii="黑体" w:hAnsi="黑体" w:eastAsia="黑体" w:cs="黑体"/>
          <w:bCs/>
          <w:color w:val="auto"/>
          <w:sz w:val="44"/>
          <w:szCs w:val="44"/>
        </w:rPr>
        <w:t>2025年</w:t>
      </w:r>
      <w:r>
        <w:rPr>
          <w:rFonts w:hint="eastAsia" w:ascii="黑体" w:hAnsi="黑体" w:eastAsia="黑体" w:cs="黑体"/>
          <w:bCs/>
          <w:color w:val="auto"/>
          <w:sz w:val="44"/>
          <w:szCs w:val="44"/>
          <w:lang w:val="en-US" w:eastAsia="zh-CN"/>
        </w:rPr>
        <w:t>2</w:t>
      </w:r>
      <w:r>
        <w:rPr>
          <w:rFonts w:hint="eastAsia" w:ascii="黑体" w:hAnsi="黑体" w:eastAsia="黑体" w:cs="黑体"/>
          <w:bCs/>
          <w:color w:val="auto"/>
          <w:sz w:val="44"/>
          <w:szCs w:val="44"/>
        </w:rPr>
        <w:t>月</w:t>
      </w:r>
    </w:p>
    <w:p w14:paraId="03F33EE3">
      <w:pPr>
        <w:rPr>
          <w:color w:val="auto"/>
        </w:rPr>
      </w:pPr>
    </w:p>
    <w:p w14:paraId="665F8EB6">
      <w:pPr>
        <w:rPr>
          <w:color w:val="auto"/>
        </w:rPr>
      </w:pPr>
    </w:p>
    <w:p w14:paraId="224198B7">
      <w:pPr>
        <w:pStyle w:val="4"/>
        <w:adjustRightInd w:val="0"/>
        <w:snapToGrid w:val="0"/>
        <w:spacing w:line="560" w:lineRule="exact"/>
        <w:jc w:val="center"/>
        <w:rPr>
          <w:rFonts w:ascii="TimesNewRoman" w:hAnsi="TimesNewRoman" w:eastAsia="黑体" w:cs="TimesNewRoman"/>
          <w:bCs/>
          <w:color w:val="auto"/>
          <w:sz w:val="44"/>
          <w:szCs w:val="44"/>
        </w:rPr>
      </w:pPr>
      <w:r>
        <w:rPr>
          <w:rFonts w:hint="eastAsia" w:ascii="TimesNewRoman" w:hAnsi="TimesNewRoman" w:eastAsia="黑体" w:cs="TimesNewRoman"/>
          <w:bCs/>
          <w:color w:val="auto"/>
          <w:sz w:val="44"/>
          <w:szCs w:val="44"/>
        </w:rPr>
        <w:t>目  录</w:t>
      </w:r>
    </w:p>
    <w:p w14:paraId="5FA0693C">
      <w:pPr>
        <w:rPr>
          <w:color w:val="auto"/>
        </w:rPr>
      </w:pPr>
    </w:p>
    <w:p w14:paraId="4B5858B6">
      <w:pPr>
        <w:pStyle w:val="4"/>
        <w:adjustRightInd w:val="0"/>
        <w:snapToGrid w:val="0"/>
        <w:spacing w:line="400" w:lineRule="exact"/>
        <w:ind w:firstLine="643" w:firstLineChars="200"/>
        <w:rPr>
          <w:rFonts w:hint="eastAsia" w:ascii="仿宋" w:hAnsi="仿宋" w:eastAsia="仿宋" w:cs="仿宋"/>
          <w:b/>
          <w:color w:val="auto"/>
          <w:sz w:val="32"/>
          <w:szCs w:val="32"/>
        </w:rPr>
      </w:pPr>
      <w:r>
        <w:rPr>
          <w:rFonts w:hint="eastAsia" w:ascii="仿宋" w:hAnsi="仿宋" w:eastAsia="仿宋" w:cs="仿宋"/>
          <w:b/>
          <w:color w:val="auto"/>
          <w:sz w:val="32"/>
          <w:szCs w:val="32"/>
        </w:rPr>
        <w:t xml:space="preserve">第一部分 </w:t>
      </w:r>
      <w:r>
        <w:rPr>
          <w:rFonts w:hint="eastAsia" w:ascii="仿宋" w:hAnsi="仿宋" w:eastAsia="仿宋" w:cs="仿宋"/>
          <w:b/>
          <w:color w:val="auto"/>
          <w:sz w:val="32"/>
          <w:szCs w:val="32"/>
          <w:lang w:val="en-US" w:eastAsia="zh-CN"/>
        </w:rPr>
        <w:t>单位</w:t>
      </w:r>
      <w:r>
        <w:rPr>
          <w:rFonts w:hint="eastAsia" w:ascii="仿宋" w:hAnsi="仿宋" w:eastAsia="仿宋" w:cs="仿宋"/>
          <w:b/>
          <w:color w:val="auto"/>
          <w:sz w:val="32"/>
          <w:szCs w:val="32"/>
        </w:rPr>
        <w:t>概况</w:t>
      </w:r>
    </w:p>
    <w:p w14:paraId="1BE51AB5">
      <w:pPr>
        <w:pStyle w:val="4"/>
        <w:adjustRightInd w:val="0"/>
        <w:snapToGrid w:val="0"/>
        <w:spacing w:line="400" w:lineRule="exact"/>
        <w:ind w:firstLine="800" w:firstLineChars="250"/>
        <w:rPr>
          <w:rFonts w:hint="eastAsia" w:ascii="仿宋" w:hAnsi="仿宋" w:eastAsia="仿宋" w:cs="仿宋"/>
          <w:bCs/>
          <w:color w:val="auto"/>
          <w:sz w:val="32"/>
          <w:szCs w:val="32"/>
        </w:rPr>
      </w:pPr>
      <w:r>
        <w:rPr>
          <w:rFonts w:hint="eastAsia" w:ascii="仿宋" w:hAnsi="仿宋" w:eastAsia="仿宋" w:cs="仿宋"/>
          <w:bCs/>
          <w:color w:val="auto"/>
          <w:sz w:val="32"/>
          <w:szCs w:val="32"/>
        </w:rPr>
        <w:t>1、主要职责</w:t>
      </w:r>
    </w:p>
    <w:p w14:paraId="10B0474B">
      <w:pPr>
        <w:pStyle w:val="4"/>
        <w:adjustRightInd w:val="0"/>
        <w:snapToGrid w:val="0"/>
        <w:spacing w:line="400" w:lineRule="exact"/>
        <w:ind w:firstLine="800" w:firstLineChars="250"/>
        <w:rPr>
          <w:rFonts w:hint="eastAsia" w:ascii="仿宋" w:hAnsi="仿宋" w:eastAsia="仿宋" w:cs="仿宋"/>
          <w:bCs/>
          <w:color w:val="auto"/>
          <w:sz w:val="32"/>
          <w:szCs w:val="32"/>
        </w:rPr>
      </w:pPr>
      <w:r>
        <w:rPr>
          <w:rFonts w:hint="eastAsia" w:ascii="仿宋" w:hAnsi="仿宋" w:eastAsia="仿宋" w:cs="仿宋"/>
          <w:bCs/>
          <w:color w:val="auto"/>
          <w:sz w:val="32"/>
          <w:szCs w:val="32"/>
        </w:rPr>
        <w:t>2、单位预算构成</w:t>
      </w:r>
    </w:p>
    <w:p w14:paraId="4E262CF8">
      <w:pPr>
        <w:pStyle w:val="4"/>
        <w:adjustRightInd w:val="0"/>
        <w:snapToGrid w:val="0"/>
        <w:spacing w:line="400" w:lineRule="exact"/>
        <w:ind w:firstLine="800" w:firstLineChars="250"/>
        <w:rPr>
          <w:rFonts w:hint="eastAsia" w:ascii="仿宋" w:hAnsi="仿宋" w:eastAsia="仿宋" w:cs="仿宋"/>
          <w:bCs/>
          <w:color w:val="auto"/>
          <w:sz w:val="32"/>
          <w:szCs w:val="32"/>
        </w:rPr>
      </w:pPr>
      <w:r>
        <w:rPr>
          <w:rFonts w:hint="eastAsia" w:ascii="仿宋" w:hAnsi="仿宋" w:eastAsia="仿宋" w:cs="仿宋"/>
          <w:bCs/>
          <w:color w:val="auto"/>
          <w:sz w:val="32"/>
          <w:szCs w:val="32"/>
        </w:rPr>
        <w:t>3</w:t>
      </w:r>
      <w:r>
        <w:rPr>
          <w:rFonts w:hint="eastAsia" w:ascii="仿宋" w:hAnsi="仿宋" w:eastAsia="仿宋" w:cs="仿宋"/>
          <w:bCs/>
          <w:color w:val="auto"/>
          <w:sz w:val="32"/>
          <w:szCs w:val="32"/>
          <w:lang w:eastAsia="zh-CN"/>
        </w:rPr>
        <w:t>、</w:t>
      </w:r>
      <w:r>
        <w:rPr>
          <w:rFonts w:hint="eastAsia" w:ascii="仿宋" w:hAnsi="仿宋" w:eastAsia="仿宋" w:cs="仿宋"/>
          <w:bCs/>
          <w:color w:val="auto"/>
          <w:sz w:val="32"/>
          <w:szCs w:val="32"/>
        </w:rPr>
        <w:t>2025年度主要工作任务</w:t>
      </w:r>
    </w:p>
    <w:p w14:paraId="045D4BBE">
      <w:pPr>
        <w:pStyle w:val="4"/>
        <w:adjustRightInd w:val="0"/>
        <w:snapToGrid w:val="0"/>
        <w:spacing w:line="400" w:lineRule="exact"/>
        <w:ind w:firstLine="643" w:firstLineChars="200"/>
        <w:rPr>
          <w:rFonts w:hint="eastAsia" w:ascii="仿宋" w:hAnsi="仿宋" w:eastAsia="仿宋" w:cs="仿宋"/>
          <w:b/>
          <w:color w:val="auto"/>
          <w:sz w:val="32"/>
          <w:szCs w:val="32"/>
        </w:rPr>
      </w:pPr>
      <w:r>
        <w:rPr>
          <w:rFonts w:hint="eastAsia" w:ascii="仿宋" w:hAnsi="仿宋" w:eastAsia="仿宋" w:cs="仿宋"/>
          <w:b/>
          <w:color w:val="auto"/>
          <w:sz w:val="32"/>
          <w:szCs w:val="32"/>
        </w:rPr>
        <w:t>第二部分 2025年单位预算表</w:t>
      </w:r>
    </w:p>
    <w:p w14:paraId="2AA28DF2">
      <w:pPr>
        <w:pStyle w:val="4"/>
        <w:adjustRightInd w:val="0"/>
        <w:snapToGrid w:val="0"/>
        <w:spacing w:line="400" w:lineRule="exact"/>
        <w:ind w:firstLine="800" w:firstLineChars="250"/>
        <w:rPr>
          <w:rFonts w:hint="eastAsia" w:ascii="仿宋" w:hAnsi="仿宋" w:eastAsia="仿宋" w:cs="仿宋"/>
          <w:bCs/>
          <w:color w:val="auto"/>
          <w:sz w:val="32"/>
          <w:szCs w:val="32"/>
        </w:rPr>
      </w:pPr>
      <w:r>
        <w:rPr>
          <w:rFonts w:hint="eastAsia" w:ascii="仿宋" w:hAnsi="仿宋" w:eastAsia="仿宋" w:cs="仿宋"/>
          <w:bCs/>
          <w:color w:val="auto"/>
          <w:sz w:val="32"/>
          <w:szCs w:val="32"/>
        </w:rPr>
        <w:t>1、淮北市疾病预防控制中心2025年收支总表</w:t>
      </w:r>
    </w:p>
    <w:p w14:paraId="6D604EB2">
      <w:pPr>
        <w:pStyle w:val="4"/>
        <w:adjustRightInd w:val="0"/>
        <w:snapToGrid w:val="0"/>
        <w:spacing w:line="400" w:lineRule="exact"/>
        <w:ind w:firstLine="800" w:firstLineChars="250"/>
        <w:rPr>
          <w:rFonts w:hint="eastAsia" w:ascii="仿宋" w:hAnsi="仿宋" w:eastAsia="仿宋" w:cs="仿宋"/>
          <w:bCs/>
          <w:color w:val="auto"/>
          <w:sz w:val="32"/>
          <w:szCs w:val="32"/>
        </w:rPr>
      </w:pPr>
      <w:r>
        <w:rPr>
          <w:rFonts w:hint="eastAsia" w:ascii="仿宋" w:hAnsi="仿宋" w:eastAsia="仿宋" w:cs="仿宋"/>
          <w:bCs/>
          <w:color w:val="auto"/>
          <w:sz w:val="32"/>
          <w:szCs w:val="32"/>
        </w:rPr>
        <w:t>2、淮北市疾病预防控制中心2025年收入总表</w:t>
      </w:r>
    </w:p>
    <w:p w14:paraId="1B0C97BE">
      <w:pPr>
        <w:pStyle w:val="4"/>
        <w:adjustRightInd w:val="0"/>
        <w:snapToGrid w:val="0"/>
        <w:spacing w:line="400" w:lineRule="exact"/>
        <w:ind w:firstLine="800" w:firstLineChars="250"/>
        <w:rPr>
          <w:rFonts w:hint="eastAsia" w:ascii="仿宋" w:hAnsi="仿宋" w:eastAsia="仿宋" w:cs="仿宋"/>
          <w:bCs/>
          <w:color w:val="auto"/>
          <w:sz w:val="32"/>
          <w:szCs w:val="32"/>
        </w:rPr>
      </w:pPr>
      <w:r>
        <w:rPr>
          <w:rFonts w:hint="eastAsia" w:ascii="仿宋" w:hAnsi="仿宋" w:eastAsia="仿宋" w:cs="仿宋"/>
          <w:bCs/>
          <w:color w:val="auto"/>
          <w:sz w:val="32"/>
          <w:szCs w:val="32"/>
        </w:rPr>
        <w:t>3、淮北市疾病预防控制中心2025年支出总表</w:t>
      </w:r>
    </w:p>
    <w:p w14:paraId="3644ECD4">
      <w:pPr>
        <w:pStyle w:val="4"/>
        <w:adjustRightInd w:val="0"/>
        <w:snapToGrid w:val="0"/>
        <w:spacing w:line="400" w:lineRule="exact"/>
        <w:ind w:firstLine="800" w:firstLineChars="250"/>
        <w:rPr>
          <w:rFonts w:hint="eastAsia" w:ascii="仿宋" w:hAnsi="仿宋" w:eastAsia="仿宋" w:cs="仿宋"/>
          <w:bCs/>
          <w:color w:val="auto"/>
          <w:sz w:val="32"/>
          <w:szCs w:val="32"/>
        </w:rPr>
      </w:pPr>
      <w:r>
        <w:rPr>
          <w:rFonts w:hint="eastAsia" w:ascii="仿宋" w:hAnsi="仿宋" w:eastAsia="仿宋" w:cs="仿宋"/>
          <w:bCs/>
          <w:color w:val="auto"/>
          <w:sz w:val="32"/>
          <w:szCs w:val="32"/>
        </w:rPr>
        <w:t>4、淮北市疾病预防控制中心2025年财政拨款收支总表</w:t>
      </w:r>
    </w:p>
    <w:p w14:paraId="299B7C57">
      <w:pPr>
        <w:pStyle w:val="4"/>
        <w:adjustRightInd w:val="0"/>
        <w:snapToGrid w:val="0"/>
        <w:spacing w:line="400" w:lineRule="exact"/>
        <w:ind w:firstLine="800" w:firstLineChars="250"/>
        <w:rPr>
          <w:rFonts w:hint="eastAsia" w:ascii="仿宋" w:hAnsi="仿宋" w:eastAsia="仿宋" w:cs="仿宋"/>
          <w:bCs/>
          <w:color w:val="auto"/>
          <w:sz w:val="32"/>
          <w:szCs w:val="32"/>
        </w:rPr>
      </w:pPr>
      <w:r>
        <w:rPr>
          <w:rFonts w:hint="eastAsia" w:ascii="仿宋" w:hAnsi="仿宋" w:eastAsia="仿宋" w:cs="仿宋"/>
          <w:bCs/>
          <w:color w:val="auto"/>
          <w:sz w:val="32"/>
          <w:szCs w:val="32"/>
        </w:rPr>
        <w:t>5、淮北市疾病预防控制中心2025年一般公共预算支出表</w:t>
      </w:r>
    </w:p>
    <w:p w14:paraId="5D5052F6">
      <w:pPr>
        <w:pStyle w:val="4"/>
        <w:adjustRightInd w:val="0"/>
        <w:snapToGrid w:val="0"/>
        <w:spacing w:line="400" w:lineRule="exact"/>
        <w:ind w:firstLine="800" w:firstLineChars="250"/>
        <w:rPr>
          <w:rFonts w:hint="eastAsia" w:ascii="仿宋" w:hAnsi="仿宋" w:eastAsia="仿宋" w:cs="仿宋"/>
          <w:bCs/>
          <w:color w:val="auto"/>
          <w:sz w:val="32"/>
          <w:szCs w:val="32"/>
        </w:rPr>
      </w:pPr>
      <w:r>
        <w:rPr>
          <w:rFonts w:hint="eastAsia" w:ascii="仿宋" w:hAnsi="仿宋" w:eastAsia="仿宋" w:cs="仿宋"/>
          <w:bCs/>
          <w:color w:val="auto"/>
          <w:sz w:val="32"/>
          <w:szCs w:val="32"/>
        </w:rPr>
        <w:t>6、淮北市疾病预防控制中心2025年一般公共预算基本支出表</w:t>
      </w:r>
    </w:p>
    <w:p w14:paraId="28504BFA">
      <w:pPr>
        <w:pStyle w:val="4"/>
        <w:adjustRightInd w:val="0"/>
        <w:snapToGrid w:val="0"/>
        <w:spacing w:line="400" w:lineRule="exact"/>
        <w:ind w:firstLine="800" w:firstLineChars="250"/>
        <w:rPr>
          <w:rFonts w:hint="eastAsia" w:ascii="仿宋" w:hAnsi="仿宋" w:eastAsia="仿宋" w:cs="仿宋"/>
          <w:bCs/>
          <w:color w:val="auto"/>
          <w:sz w:val="32"/>
          <w:szCs w:val="32"/>
        </w:rPr>
      </w:pPr>
      <w:r>
        <w:rPr>
          <w:rFonts w:hint="eastAsia" w:ascii="仿宋" w:hAnsi="仿宋" w:eastAsia="仿宋" w:cs="仿宋"/>
          <w:bCs/>
          <w:color w:val="auto"/>
          <w:sz w:val="32"/>
          <w:szCs w:val="32"/>
        </w:rPr>
        <w:t>7、淮北市疾病预防控制中心2025年政府性基金预算支出表</w:t>
      </w:r>
    </w:p>
    <w:p w14:paraId="42986A21">
      <w:pPr>
        <w:pStyle w:val="4"/>
        <w:adjustRightInd w:val="0"/>
        <w:snapToGrid w:val="0"/>
        <w:spacing w:line="400" w:lineRule="exact"/>
        <w:ind w:firstLine="800" w:firstLineChars="250"/>
        <w:rPr>
          <w:rFonts w:hint="eastAsia" w:ascii="仿宋" w:hAnsi="仿宋" w:eastAsia="仿宋" w:cs="仿宋"/>
          <w:bCs/>
          <w:color w:val="auto"/>
          <w:sz w:val="32"/>
          <w:szCs w:val="32"/>
        </w:rPr>
      </w:pPr>
      <w:r>
        <w:rPr>
          <w:rFonts w:hint="eastAsia" w:ascii="仿宋" w:hAnsi="仿宋" w:eastAsia="仿宋" w:cs="仿宋"/>
          <w:bCs/>
          <w:color w:val="auto"/>
          <w:sz w:val="32"/>
          <w:szCs w:val="32"/>
        </w:rPr>
        <w:t>8、淮北市疾病预防控制中心2025年国有资本经营预算支出表</w:t>
      </w:r>
    </w:p>
    <w:p w14:paraId="31EAFC6E">
      <w:pPr>
        <w:pStyle w:val="4"/>
        <w:adjustRightInd w:val="0"/>
        <w:snapToGrid w:val="0"/>
        <w:spacing w:line="400" w:lineRule="exact"/>
        <w:ind w:firstLine="800" w:firstLineChars="250"/>
        <w:rPr>
          <w:rFonts w:hint="eastAsia" w:ascii="仿宋" w:hAnsi="仿宋" w:eastAsia="仿宋" w:cs="仿宋"/>
          <w:bCs/>
          <w:color w:val="auto"/>
          <w:sz w:val="32"/>
          <w:szCs w:val="32"/>
        </w:rPr>
      </w:pPr>
      <w:r>
        <w:rPr>
          <w:rFonts w:hint="eastAsia" w:ascii="仿宋" w:hAnsi="仿宋" w:eastAsia="仿宋" w:cs="仿宋"/>
          <w:bCs/>
          <w:color w:val="auto"/>
          <w:sz w:val="32"/>
          <w:szCs w:val="32"/>
        </w:rPr>
        <w:t>9、淮北市疾病预防控制中心2025年项目支出表</w:t>
      </w:r>
    </w:p>
    <w:p w14:paraId="0917EEEB">
      <w:pPr>
        <w:pStyle w:val="4"/>
        <w:adjustRightInd w:val="0"/>
        <w:snapToGrid w:val="0"/>
        <w:spacing w:line="400" w:lineRule="exact"/>
        <w:ind w:firstLine="800" w:firstLineChars="250"/>
        <w:rPr>
          <w:rFonts w:hint="eastAsia" w:ascii="仿宋" w:hAnsi="仿宋" w:eastAsia="仿宋" w:cs="仿宋"/>
          <w:bCs/>
          <w:color w:val="auto"/>
          <w:sz w:val="32"/>
          <w:szCs w:val="32"/>
        </w:rPr>
      </w:pPr>
      <w:r>
        <w:rPr>
          <w:rFonts w:hint="eastAsia" w:ascii="仿宋" w:hAnsi="仿宋" w:eastAsia="仿宋" w:cs="仿宋"/>
          <w:bCs/>
          <w:color w:val="auto"/>
          <w:sz w:val="32"/>
          <w:szCs w:val="32"/>
        </w:rPr>
        <w:t>10、淮北市疾病预防控制中心2025年政府采购支出表</w:t>
      </w:r>
    </w:p>
    <w:p w14:paraId="564B6AEC">
      <w:pPr>
        <w:pStyle w:val="4"/>
        <w:adjustRightInd w:val="0"/>
        <w:snapToGrid w:val="0"/>
        <w:spacing w:line="400" w:lineRule="exact"/>
        <w:ind w:firstLine="800" w:firstLineChars="250"/>
        <w:rPr>
          <w:rFonts w:hint="eastAsia" w:ascii="仿宋" w:hAnsi="仿宋" w:eastAsia="仿宋" w:cs="仿宋"/>
          <w:bCs/>
          <w:color w:val="auto"/>
          <w:sz w:val="32"/>
          <w:szCs w:val="32"/>
        </w:rPr>
      </w:pPr>
      <w:r>
        <w:rPr>
          <w:rFonts w:hint="eastAsia" w:ascii="仿宋" w:hAnsi="仿宋" w:eastAsia="仿宋" w:cs="仿宋"/>
          <w:bCs/>
          <w:color w:val="auto"/>
          <w:sz w:val="32"/>
          <w:szCs w:val="32"/>
        </w:rPr>
        <w:t>11、淮北市疾病预防控制中心2025年政府购买服务支出表</w:t>
      </w:r>
    </w:p>
    <w:p w14:paraId="3D8105AD">
      <w:pPr>
        <w:pStyle w:val="4"/>
        <w:adjustRightInd w:val="0"/>
        <w:snapToGrid w:val="0"/>
        <w:spacing w:line="400" w:lineRule="exact"/>
        <w:ind w:firstLine="800" w:firstLineChars="250"/>
        <w:rPr>
          <w:rFonts w:hint="eastAsia" w:ascii="仿宋" w:hAnsi="仿宋" w:eastAsia="仿宋" w:cs="仿宋"/>
          <w:bCs/>
          <w:color w:val="auto"/>
          <w:sz w:val="32"/>
          <w:szCs w:val="32"/>
        </w:rPr>
      </w:pPr>
      <w:r>
        <w:rPr>
          <w:rFonts w:hint="eastAsia" w:ascii="仿宋" w:hAnsi="仿宋" w:eastAsia="仿宋" w:cs="仿宋"/>
          <w:bCs/>
          <w:color w:val="auto"/>
          <w:sz w:val="32"/>
          <w:szCs w:val="32"/>
        </w:rPr>
        <w:t>12、淮北市疾病预防控制中心2025年通用资产配置支出表</w:t>
      </w:r>
    </w:p>
    <w:p w14:paraId="701EA8A5">
      <w:pPr>
        <w:pStyle w:val="4"/>
        <w:adjustRightInd w:val="0"/>
        <w:snapToGrid w:val="0"/>
        <w:spacing w:line="400" w:lineRule="exact"/>
        <w:ind w:firstLine="643" w:firstLineChars="200"/>
        <w:rPr>
          <w:rFonts w:hint="eastAsia" w:ascii="仿宋" w:hAnsi="仿宋" w:eastAsia="仿宋" w:cs="仿宋"/>
          <w:b/>
          <w:color w:val="auto"/>
          <w:sz w:val="32"/>
          <w:szCs w:val="32"/>
        </w:rPr>
      </w:pPr>
      <w:r>
        <w:rPr>
          <w:rFonts w:hint="eastAsia" w:ascii="仿宋" w:hAnsi="仿宋" w:eastAsia="仿宋" w:cs="仿宋"/>
          <w:b/>
          <w:color w:val="auto"/>
          <w:sz w:val="32"/>
          <w:szCs w:val="32"/>
        </w:rPr>
        <w:t>第三部分 2025年单位预算情况说明</w:t>
      </w:r>
    </w:p>
    <w:p w14:paraId="493F3F53">
      <w:pPr>
        <w:pStyle w:val="4"/>
        <w:adjustRightInd w:val="0"/>
        <w:snapToGrid w:val="0"/>
        <w:spacing w:line="400" w:lineRule="exact"/>
        <w:ind w:firstLine="800" w:firstLineChars="250"/>
        <w:rPr>
          <w:rFonts w:hint="eastAsia" w:ascii="仿宋" w:hAnsi="仿宋" w:eastAsia="仿宋" w:cs="仿宋"/>
          <w:bCs/>
          <w:color w:val="auto"/>
          <w:sz w:val="32"/>
          <w:szCs w:val="32"/>
        </w:rPr>
      </w:pPr>
      <w:r>
        <w:rPr>
          <w:rFonts w:hint="eastAsia" w:ascii="仿宋" w:hAnsi="仿宋" w:eastAsia="仿宋" w:cs="仿宋"/>
          <w:bCs/>
          <w:color w:val="auto"/>
          <w:sz w:val="32"/>
          <w:szCs w:val="32"/>
        </w:rPr>
        <w:t>1、关于2025年收支总表的说明</w:t>
      </w:r>
    </w:p>
    <w:p w14:paraId="73E1851E">
      <w:pPr>
        <w:pStyle w:val="4"/>
        <w:adjustRightInd w:val="0"/>
        <w:snapToGrid w:val="0"/>
        <w:spacing w:line="400" w:lineRule="exact"/>
        <w:ind w:firstLine="800" w:firstLineChars="250"/>
        <w:rPr>
          <w:rFonts w:hint="eastAsia" w:ascii="仿宋" w:hAnsi="仿宋" w:eastAsia="仿宋" w:cs="仿宋"/>
          <w:bCs/>
          <w:color w:val="auto"/>
          <w:sz w:val="32"/>
          <w:szCs w:val="32"/>
        </w:rPr>
      </w:pPr>
      <w:r>
        <w:rPr>
          <w:rFonts w:hint="eastAsia" w:ascii="仿宋" w:hAnsi="仿宋" w:eastAsia="仿宋" w:cs="仿宋"/>
          <w:bCs/>
          <w:color w:val="auto"/>
          <w:sz w:val="32"/>
          <w:szCs w:val="32"/>
        </w:rPr>
        <w:t>2、关于2025年收入总表的说明</w:t>
      </w:r>
    </w:p>
    <w:p w14:paraId="40514D89">
      <w:pPr>
        <w:pStyle w:val="4"/>
        <w:adjustRightInd w:val="0"/>
        <w:snapToGrid w:val="0"/>
        <w:spacing w:line="400" w:lineRule="exact"/>
        <w:ind w:firstLine="800" w:firstLineChars="250"/>
        <w:rPr>
          <w:rFonts w:hint="eastAsia" w:ascii="仿宋" w:hAnsi="仿宋" w:eastAsia="仿宋" w:cs="仿宋"/>
          <w:bCs/>
          <w:color w:val="auto"/>
          <w:sz w:val="32"/>
          <w:szCs w:val="32"/>
        </w:rPr>
      </w:pPr>
      <w:r>
        <w:rPr>
          <w:rFonts w:hint="eastAsia" w:ascii="仿宋" w:hAnsi="仿宋" w:eastAsia="仿宋" w:cs="仿宋"/>
          <w:bCs/>
          <w:color w:val="auto"/>
          <w:sz w:val="32"/>
          <w:szCs w:val="32"/>
        </w:rPr>
        <w:t>3、关于2025年支出总表的说明</w:t>
      </w:r>
    </w:p>
    <w:p w14:paraId="57588DB6">
      <w:pPr>
        <w:pStyle w:val="4"/>
        <w:adjustRightInd w:val="0"/>
        <w:snapToGrid w:val="0"/>
        <w:spacing w:line="400" w:lineRule="exact"/>
        <w:ind w:firstLine="800" w:firstLineChars="250"/>
        <w:rPr>
          <w:rFonts w:hint="eastAsia" w:ascii="仿宋" w:hAnsi="仿宋" w:eastAsia="仿宋" w:cs="仿宋"/>
          <w:bCs/>
          <w:color w:val="auto"/>
          <w:sz w:val="32"/>
          <w:szCs w:val="32"/>
        </w:rPr>
      </w:pPr>
      <w:r>
        <w:rPr>
          <w:rFonts w:hint="eastAsia" w:ascii="仿宋" w:hAnsi="仿宋" w:eastAsia="仿宋" w:cs="仿宋"/>
          <w:bCs/>
          <w:color w:val="auto"/>
          <w:sz w:val="32"/>
          <w:szCs w:val="32"/>
        </w:rPr>
        <w:t>4、关于2025年财政拨款收支总表的说明</w:t>
      </w:r>
    </w:p>
    <w:p w14:paraId="7D9185A9">
      <w:pPr>
        <w:pStyle w:val="4"/>
        <w:adjustRightInd w:val="0"/>
        <w:snapToGrid w:val="0"/>
        <w:spacing w:line="400" w:lineRule="exact"/>
        <w:ind w:firstLine="800" w:firstLineChars="250"/>
        <w:rPr>
          <w:rFonts w:hint="eastAsia" w:ascii="仿宋" w:hAnsi="仿宋" w:eastAsia="仿宋" w:cs="仿宋"/>
          <w:bCs/>
          <w:color w:val="auto"/>
          <w:sz w:val="32"/>
          <w:szCs w:val="32"/>
        </w:rPr>
      </w:pPr>
      <w:r>
        <w:rPr>
          <w:rFonts w:hint="eastAsia" w:ascii="仿宋" w:hAnsi="仿宋" w:eastAsia="仿宋" w:cs="仿宋"/>
          <w:bCs/>
          <w:color w:val="auto"/>
          <w:sz w:val="32"/>
          <w:szCs w:val="32"/>
        </w:rPr>
        <w:t>5、关于2025年一般公共预算支出表的说明</w:t>
      </w:r>
    </w:p>
    <w:p w14:paraId="200DBD86">
      <w:pPr>
        <w:pStyle w:val="4"/>
        <w:adjustRightInd w:val="0"/>
        <w:snapToGrid w:val="0"/>
        <w:spacing w:line="400" w:lineRule="exact"/>
        <w:ind w:firstLine="800" w:firstLineChars="250"/>
        <w:rPr>
          <w:rFonts w:hint="eastAsia" w:ascii="仿宋" w:hAnsi="仿宋" w:eastAsia="仿宋" w:cs="仿宋"/>
          <w:bCs/>
          <w:color w:val="auto"/>
          <w:sz w:val="32"/>
          <w:szCs w:val="32"/>
        </w:rPr>
      </w:pPr>
      <w:r>
        <w:rPr>
          <w:rFonts w:hint="eastAsia" w:ascii="仿宋" w:hAnsi="仿宋" w:eastAsia="仿宋" w:cs="仿宋"/>
          <w:bCs/>
          <w:color w:val="auto"/>
          <w:sz w:val="32"/>
          <w:szCs w:val="32"/>
        </w:rPr>
        <w:t>6、关于2025年一般公共预算基本支出表的说明</w:t>
      </w:r>
    </w:p>
    <w:p w14:paraId="2A5C77AD">
      <w:pPr>
        <w:pStyle w:val="4"/>
        <w:adjustRightInd w:val="0"/>
        <w:snapToGrid w:val="0"/>
        <w:spacing w:line="400" w:lineRule="exact"/>
        <w:ind w:firstLine="800" w:firstLineChars="250"/>
        <w:rPr>
          <w:rFonts w:hint="eastAsia" w:ascii="仿宋" w:hAnsi="仿宋" w:eastAsia="仿宋" w:cs="仿宋"/>
          <w:bCs/>
          <w:color w:val="auto"/>
          <w:sz w:val="32"/>
          <w:szCs w:val="32"/>
        </w:rPr>
      </w:pPr>
      <w:r>
        <w:rPr>
          <w:rFonts w:hint="eastAsia" w:ascii="仿宋" w:hAnsi="仿宋" w:eastAsia="仿宋" w:cs="仿宋"/>
          <w:bCs/>
          <w:color w:val="auto"/>
          <w:sz w:val="32"/>
          <w:szCs w:val="32"/>
        </w:rPr>
        <w:t>7、关于2025年政府性基金预算支出表的说明</w:t>
      </w:r>
    </w:p>
    <w:p w14:paraId="16693926">
      <w:pPr>
        <w:pStyle w:val="4"/>
        <w:adjustRightInd w:val="0"/>
        <w:snapToGrid w:val="0"/>
        <w:spacing w:line="400" w:lineRule="exact"/>
        <w:ind w:firstLine="800" w:firstLineChars="250"/>
        <w:rPr>
          <w:rFonts w:hint="eastAsia" w:ascii="仿宋" w:hAnsi="仿宋" w:eastAsia="仿宋" w:cs="仿宋"/>
          <w:bCs/>
          <w:color w:val="auto"/>
          <w:sz w:val="32"/>
          <w:szCs w:val="32"/>
        </w:rPr>
      </w:pPr>
      <w:r>
        <w:rPr>
          <w:rFonts w:hint="eastAsia" w:ascii="仿宋" w:hAnsi="仿宋" w:eastAsia="仿宋" w:cs="仿宋"/>
          <w:bCs/>
          <w:color w:val="auto"/>
          <w:sz w:val="32"/>
          <w:szCs w:val="32"/>
        </w:rPr>
        <w:t>8、关于2025年国有资本经营预算支出表的说明</w:t>
      </w:r>
    </w:p>
    <w:p w14:paraId="14BD5DC3">
      <w:pPr>
        <w:pStyle w:val="4"/>
        <w:adjustRightInd w:val="0"/>
        <w:snapToGrid w:val="0"/>
        <w:spacing w:line="400" w:lineRule="exact"/>
        <w:ind w:firstLine="800" w:firstLineChars="250"/>
        <w:rPr>
          <w:rFonts w:hint="eastAsia" w:ascii="仿宋" w:hAnsi="仿宋" w:eastAsia="仿宋" w:cs="仿宋"/>
          <w:bCs/>
          <w:color w:val="auto"/>
          <w:sz w:val="32"/>
          <w:szCs w:val="32"/>
        </w:rPr>
      </w:pPr>
      <w:r>
        <w:rPr>
          <w:rFonts w:hint="eastAsia" w:ascii="仿宋" w:hAnsi="仿宋" w:eastAsia="仿宋" w:cs="仿宋"/>
          <w:bCs/>
          <w:color w:val="auto"/>
          <w:sz w:val="32"/>
          <w:szCs w:val="32"/>
        </w:rPr>
        <w:t>9、关于2025年项目支出表的说明</w:t>
      </w:r>
    </w:p>
    <w:p w14:paraId="2BFF5F45">
      <w:pPr>
        <w:pStyle w:val="4"/>
        <w:adjustRightInd w:val="0"/>
        <w:snapToGrid w:val="0"/>
        <w:spacing w:line="400" w:lineRule="exact"/>
        <w:ind w:firstLine="800" w:firstLineChars="250"/>
        <w:rPr>
          <w:rFonts w:hint="eastAsia" w:ascii="仿宋" w:hAnsi="仿宋" w:eastAsia="仿宋" w:cs="仿宋"/>
          <w:bCs/>
          <w:color w:val="auto"/>
          <w:sz w:val="32"/>
          <w:szCs w:val="32"/>
        </w:rPr>
      </w:pPr>
      <w:r>
        <w:rPr>
          <w:rFonts w:hint="eastAsia" w:ascii="仿宋" w:hAnsi="仿宋" w:eastAsia="仿宋" w:cs="仿宋"/>
          <w:bCs/>
          <w:color w:val="auto"/>
          <w:sz w:val="32"/>
          <w:szCs w:val="32"/>
        </w:rPr>
        <w:t>10、关于2025年政府采购支出表的说明</w:t>
      </w:r>
    </w:p>
    <w:p w14:paraId="0784668D">
      <w:pPr>
        <w:pStyle w:val="4"/>
        <w:adjustRightInd w:val="0"/>
        <w:snapToGrid w:val="0"/>
        <w:spacing w:line="400" w:lineRule="exact"/>
        <w:ind w:firstLine="800" w:firstLineChars="250"/>
        <w:rPr>
          <w:rFonts w:hint="eastAsia" w:ascii="仿宋" w:hAnsi="仿宋" w:eastAsia="仿宋" w:cs="仿宋"/>
          <w:bCs/>
          <w:color w:val="auto"/>
          <w:sz w:val="32"/>
          <w:szCs w:val="32"/>
        </w:rPr>
      </w:pPr>
      <w:r>
        <w:rPr>
          <w:rFonts w:hint="eastAsia" w:ascii="仿宋" w:hAnsi="仿宋" w:eastAsia="仿宋" w:cs="仿宋"/>
          <w:bCs/>
          <w:color w:val="auto"/>
          <w:sz w:val="32"/>
          <w:szCs w:val="32"/>
        </w:rPr>
        <w:t>11、关于2025年政府购买服务支出表的说明</w:t>
      </w:r>
    </w:p>
    <w:p w14:paraId="475A59D0">
      <w:pPr>
        <w:pStyle w:val="4"/>
        <w:adjustRightInd w:val="0"/>
        <w:snapToGrid w:val="0"/>
        <w:spacing w:line="400" w:lineRule="exact"/>
        <w:ind w:firstLine="800" w:firstLineChars="250"/>
        <w:rPr>
          <w:rFonts w:hint="eastAsia" w:ascii="仿宋" w:hAnsi="仿宋" w:eastAsia="仿宋" w:cs="仿宋"/>
          <w:bCs/>
          <w:color w:val="auto"/>
          <w:sz w:val="32"/>
          <w:szCs w:val="32"/>
        </w:rPr>
      </w:pPr>
      <w:r>
        <w:rPr>
          <w:rFonts w:hint="eastAsia" w:ascii="仿宋" w:hAnsi="仿宋" w:eastAsia="仿宋" w:cs="仿宋"/>
          <w:bCs/>
          <w:color w:val="auto"/>
          <w:sz w:val="32"/>
          <w:szCs w:val="32"/>
        </w:rPr>
        <w:t>12、关于2025年通用资产配置支出表的说明</w:t>
      </w:r>
    </w:p>
    <w:p w14:paraId="2332D6C4">
      <w:pPr>
        <w:pStyle w:val="4"/>
        <w:adjustRightInd w:val="0"/>
        <w:snapToGrid w:val="0"/>
        <w:spacing w:line="400" w:lineRule="exact"/>
        <w:ind w:firstLine="800" w:firstLineChars="250"/>
        <w:rPr>
          <w:rFonts w:hint="eastAsia" w:ascii="仿宋" w:hAnsi="仿宋" w:eastAsia="仿宋" w:cs="仿宋"/>
          <w:bCs/>
          <w:color w:val="auto"/>
          <w:sz w:val="32"/>
          <w:szCs w:val="32"/>
        </w:rPr>
      </w:pPr>
      <w:r>
        <w:rPr>
          <w:rFonts w:hint="eastAsia" w:ascii="仿宋" w:hAnsi="仿宋" w:eastAsia="仿宋" w:cs="仿宋"/>
          <w:bCs/>
          <w:color w:val="auto"/>
          <w:sz w:val="32"/>
          <w:szCs w:val="32"/>
          <w:lang w:val="en-US" w:eastAsia="zh-CN"/>
        </w:rPr>
        <w:t>13、</w:t>
      </w:r>
      <w:r>
        <w:rPr>
          <w:rFonts w:hint="eastAsia" w:ascii="仿宋" w:hAnsi="仿宋" w:eastAsia="仿宋" w:cs="仿宋"/>
          <w:bCs/>
          <w:color w:val="auto"/>
          <w:sz w:val="32"/>
          <w:szCs w:val="32"/>
        </w:rPr>
        <w:t>其他重要事项情况说明</w:t>
      </w:r>
    </w:p>
    <w:p w14:paraId="27CB804D">
      <w:pPr>
        <w:pStyle w:val="4"/>
        <w:adjustRightInd w:val="0"/>
        <w:snapToGrid w:val="0"/>
        <w:spacing w:line="400" w:lineRule="exact"/>
        <w:ind w:firstLine="643" w:firstLineChars="200"/>
        <w:rPr>
          <w:rFonts w:hint="eastAsia" w:ascii="仿宋" w:hAnsi="仿宋" w:eastAsia="仿宋" w:cs="仿宋"/>
          <w:b/>
          <w:color w:val="auto"/>
          <w:sz w:val="32"/>
          <w:szCs w:val="32"/>
        </w:rPr>
      </w:pPr>
      <w:r>
        <w:rPr>
          <w:rFonts w:hint="eastAsia" w:ascii="仿宋" w:hAnsi="仿宋" w:eastAsia="仿宋" w:cs="仿宋"/>
          <w:b/>
          <w:color w:val="auto"/>
          <w:sz w:val="32"/>
          <w:szCs w:val="32"/>
        </w:rPr>
        <w:t>第四部分 名词解释</w:t>
      </w:r>
    </w:p>
    <w:p w14:paraId="71740E83">
      <w:pPr>
        <w:pStyle w:val="4"/>
        <w:adjustRightInd w:val="0"/>
        <w:snapToGrid w:val="0"/>
        <w:spacing w:line="400" w:lineRule="exact"/>
        <w:ind w:firstLine="643" w:firstLineChars="200"/>
        <w:rPr>
          <w:rFonts w:hint="eastAsia" w:ascii="仿宋" w:hAnsi="仿宋" w:eastAsia="仿宋" w:cs="仿宋"/>
          <w:b/>
          <w:color w:val="auto"/>
          <w:sz w:val="32"/>
          <w:szCs w:val="32"/>
        </w:rPr>
      </w:pPr>
      <w:r>
        <w:rPr>
          <w:rFonts w:hint="eastAsia" w:ascii="仿宋" w:hAnsi="仿宋" w:eastAsia="仿宋" w:cs="仿宋"/>
          <w:b/>
          <w:color w:val="auto"/>
          <w:sz w:val="32"/>
          <w:szCs w:val="32"/>
        </w:rPr>
        <w:t>第五部分 其它公开事项</w:t>
      </w:r>
    </w:p>
    <w:p w14:paraId="013D797E">
      <w:pPr>
        <w:pStyle w:val="4"/>
        <w:adjustRightInd w:val="0"/>
        <w:snapToGrid w:val="0"/>
        <w:spacing w:line="400" w:lineRule="exact"/>
        <w:ind w:firstLine="800" w:firstLineChars="250"/>
        <w:rPr>
          <w:rFonts w:hint="eastAsia" w:ascii="仿宋" w:hAnsi="仿宋" w:eastAsia="仿宋" w:cs="仿宋"/>
          <w:bCs/>
          <w:color w:val="auto"/>
          <w:sz w:val="32"/>
          <w:szCs w:val="32"/>
        </w:rPr>
      </w:pPr>
      <w:r>
        <w:rPr>
          <w:rFonts w:hint="eastAsia" w:ascii="仿宋" w:hAnsi="仿宋" w:eastAsia="仿宋" w:cs="仿宋"/>
          <w:bCs/>
          <w:color w:val="auto"/>
          <w:sz w:val="32"/>
          <w:szCs w:val="32"/>
        </w:rPr>
        <w:t>1、淮北市疾病预防控制中心2025年</w:t>
      </w:r>
      <w:r>
        <w:rPr>
          <w:rFonts w:hint="eastAsia" w:ascii="仿宋" w:hAnsi="仿宋" w:eastAsia="仿宋" w:cs="仿宋"/>
          <w:bCs/>
          <w:color w:val="auto"/>
          <w:sz w:val="32"/>
          <w:szCs w:val="32"/>
          <w:lang w:val="en-US" w:eastAsia="zh-CN"/>
        </w:rPr>
        <w:t>单位</w:t>
      </w:r>
      <w:r>
        <w:rPr>
          <w:rFonts w:hint="eastAsia" w:ascii="仿宋" w:hAnsi="仿宋" w:eastAsia="仿宋" w:cs="仿宋"/>
          <w:bCs/>
          <w:color w:val="auto"/>
          <w:sz w:val="32"/>
          <w:szCs w:val="32"/>
        </w:rPr>
        <w:t>预算纳入绩效考评项目表</w:t>
      </w:r>
    </w:p>
    <w:p w14:paraId="47ACA2F4">
      <w:pPr>
        <w:pStyle w:val="4"/>
        <w:adjustRightInd w:val="0"/>
        <w:snapToGrid w:val="0"/>
        <w:spacing w:line="400" w:lineRule="exact"/>
        <w:ind w:firstLine="800" w:firstLineChars="250"/>
        <w:rPr>
          <w:rFonts w:hint="eastAsia" w:ascii="仿宋" w:hAnsi="仿宋" w:eastAsia="仿宋" w:cs="仿宋"/>
          <w:bCs/>
          <w:color w:val="auto"/>
          <w:sz w:val="32"/>
          <w:szCs w:val="32"/>
        </w:rPr>
      </w:pPr>
      <w:r>
        <w:rPr>
          <w:rFonts w:hint="eastAsia" w:ascii="仿宋" w:hAnsi="仿宋" w:eastAsia="仿宋" w:cs="仿宋"/>
          <w:bCs/>
          <w:color w:val="auto"/>
          <w:sz w:val="32"/>
          <w:szCs w:val="32"/>
        </w:rPr>
        <w:t>2、淮北市疾病预防控制中心2025年</w:t>
      </w:r>
      <w:r>
        <w:rPr>
          <w:rFonts w:hint="eastAsia" w:ascii="仿宋" w:hAnsi="仿宋" w:eastAsia="仿宋" w:cs="仿宋"/>
          <w:bCs/>
          <w:color w:val="auto"/>
          <w:sz w:val="32"/>
          <w:szCs w:val="32"/>
          <w:lang w:val="en-US" w:eastAsia="zh-CN"/>
        </w:rPr>
        <w:t>单位</w:t>
      </w:r>
      <w:r>
        <w:rPr>
          <w:rFonts w:hint="eastAsia" w:ascii="仿宋" w:hAnsi="仿宋" w:eastAsia="仿宋" w:cs="仿宋"/>
          <w:bCs/>
          <w:color w:val="auto"/>
          <w:sz w:val="32"/>
          <w:szCs w:val="32"/>
        </w:rPr>
        <w:t>预算专项资金管理清单（专栏公开）</w:t>
      </w:r>
    </w:p>
    <w:p w14:paraId="2AF63EA6">
      <w:pPr>
        <w:pStyle w:val="4"/>
        <w:adjustRightInd w:val="0"/>
        <w:snapToGrid w:val="0"/>
        <w:spacing w:line="400" w:lineRule="exact"/>
        <w:ind w:firstLine="800" w:firstLineChars="250"/>
        <w:rPr>
          <w:rFonts w:hint="eastAsia" w:ascii="仿宋" w:hAnsi="仿宋" w:eastAsia="仿宋" w:cs="仿宋"/>
          <w:bCs/>
          <w:color w:val="auto"/>
          <w:sz w:val="32"/>
          <w:szCs w:val="32"/>
        </w:rPr>
        <w:sectPr>
          <w:pgSz w:w="11906" w:h="16838"/>
          <w:pgMar w:top="1304" w:right="1134" w:bottom="1304" w:left="1247" w:header="851" w:footer="992" w:gutter="0"/>
          <w:cols w:space="425" w:num="1"/>
          <w:docGrid w:type="lines" w:linePitch="312" w:charSpace="0"/>
        </w:sectPr>
      </w:pPr>
    </w:p>
    <w:p w14:paraId="2F48942B">
      <w:pPr>
        <w:pStyle w:val="4"/>
        <w:adjustRightInd w:val="0"/>
        <w:snapToGrid w:val="0"/>
        <w:spacing w:line="560" w:lineRule="exact"/>
        <w:jc w:val="center"/>
        <w:rPr>
          <w:rFonts w:ascii="TimesNewRoman" w:hAnsi="TimesNewRoman" w:eastAsia="黑体" w:cs="TimesNewRoman"/>
          <w:bCs/>
          <w:color w:val="auto"/>
          <w:sz w:val="36"/>
          <w:szCs w:val="36"/>
        </w:rPr>
      </w:pPr>
      <w:r>
        <w:rPr>
          <w:rFonts w:hint="eastAsia" w:ascii="TimesNewRoman" w:hAnsi="TimesNewRoman" w:eastAsia="黑体" w:cs="TimesNewRoman"/>
          <w:bCs/>
          <w:color w:val="auto"/>
          <w:sz w:val="36"/>
          <w:szCs w:val="36"/>
        </w:rPr>
        <w:t>第一部分 单位概况</w:t>
      </w:r>
    </w:p>
    <w:p w14:paraId="7D7E9BEB">
      <w:pPr>
        <w:rPr>
          <w:color w:val="auto"/>
        </w:rPr>
      </w:pPr>
    </w:p>
    <w:p w14:paraId="66F3451B">
      <w:pPr>
        <w:pStyle w:val="4"/>
        <w:adjustRightInd w:val="0"/>
        <w:snapToGrid w:val="0"/>
        <w:spacing w:line="560" w:lineRule="exact"/>
        <w:ind w:firstLine="627" w:firstLineChars="196"/>
        <w:rPr>
          <w:rFonts w:ascii="TimesNewRoman" w:hAnsi="TimesNewRoman" w:eastAsia="黑体" w:cs="TimesNewRoman"/>
          <w:bCs/>
          <w:color w:val="auto"/>
          <w:sz w:val="32"/>
          <w:szCs w:val="32"/>
        </w:rPr>
      </w:pPr>
      <w:r>
        <w:rPr>
          <w:rFonts w:hint="eastAsia" w:ascii="TimesNewRoman" w:hAnsi="TimesNewRoman" w:eastAsia="黑体" w:cs="TimesNewRoman"/>
          <w:bCs/>
          <w:color w:val="auto"/>
          <w:sz w:val="32"/>
          <w:szCs w:val="32"/>
        </w:rPr>
        <w:t>一、主要职责</w:t>
      </w:r>
    </w:p>
    <w:p w14:paraId="5D204EBB">
      <w:pPr>
        <w:snapToGrid w:val="0"/>
        <w:spacing w:line="520" w:lineRule="exact"/>
        <w:ind w:firstLine="640" w:firstLineChars="200"/>
        <w:rPr>
          <w:rFonts w:hint="eastAsia" w:ascii="仿宋" w:hAnsi="仿宋" w:eastAsia="仿宋" w:cs="仿宋"/>
          <w:color w:val="auto"/>
          <w:sz w:val="32"/>
          <w:szCs w:val="32"/>
        </w:rPr>
      </w:pPr>
      <w:r>
        <w:rPr>
          <w:rFonts w:hint="eastAsia" w:ascii="仿宋" w:hAnsi="仿宋" w:eastAsia="仿宋" w:cs="仿宋"/>
          <w:bCs/>
          <w:color w:val="auto"/>
          <w:sz w:val="32"/>
          <w:szCs w:val="32"/>
        </w:rPr>
        <w:t>（一）</w:t>
      </w:r>
      <w:r>
        <w:rPr>
          <w:rFonts w:hint="eastAsia" w:ascii="仿宋" w:hAnsi="仿宋" w:eastAsia="仿宋" w:cs="仿宋"/>
          <w:color w:val="auto"/>
          <w:sz w:val="32"/>
          <w:szCs w:val="32"/>
        </w:rPr>
        <w:t>拟定并落实传染病预防控制方案，开展传染病及其流行因素监测和报告，组织传染病疫情流行病学调查和处置，对传染病预防控制效果进行考核评价。</w:t>
      </w:r>
    </w:p>
    <w:p w14:paraId="5A27A626">
      <w:pPr>
        <w:snapToGrid w:val="0"/>
        <w:spacing w:line="520" w:lineRule="exact"/>
        <w:ind w:firstLine="640" w:firstLineChars="200"/>
        <w:rPr>
          <w:rFonts w:hint="eastAsia" w:ascii="仿宋" w:hAnsi="仿宋" w:eastAsia="仿宋" w:cs="仿宋"/>
          <w:color w:val="auto"/>
          <w:sz w:val="32"/>
          <w:szCs w:val="32"/>
        </w:rPr>
      </w:pPr>
      <w:r>
        <w:rPr>
          <w:rFonts w:hint="eastAsia" w:ascii="仿宋" w:hAnsi="仿宋" w:eastAsia="仿宋" w:cs="仿宋"/>
          <w:color w:val="auto"/>
          <w:sz w:val="32"/>
          <w:szCs w:val="32"/>
        </w:rPr>
        <w:t>（二）拟定并落实地方病和寄生虫病、慢性非传染性疾病、职业病等控制方案。指导县区落实地方病和寄生虫病、慢性非传染性疾病、职业病等预防控制措施，开展地方病、寄生虫病、慢性非传染性疾病、职业病等流行因素监测和报告。组织县区进行地方病病情和寄生虫病、慢性非传染性疾病、职业病等疾病的调查和处置及效果评估。</w:t>
      </w:r>
    </w:p>
    <w:p w14:paraId="26DFBF9A">
      <w:pPr>
        <w:snapToGrid w:val="0"/>
        <w:spacing w:line="520" w:lineRule="exact"/>
        <w:ind w:firstLine="640" w:firstLineChars="200"/>
        <w:rPr>
          <w:rFonts w:hint="eastAsia" w:ascii="仿宋" w:hAnsi="仿宋" w:eastAsia="仿宋" w:cs="仿宋"/>
          <w:color w:val="auto"/>
          <w:sz w:val="32"/>
          <w:szCs w:val="32"/>
        </w:rPr>
      </w:pPr>
      <w:r>
        <w:rPr>
          <w:rFonts w:hint="eastAsia" w:ascii="仿宋" w:hAnsi="仿宋" w:eastAsia="仿宋" w:cs="仿宋"/>
          <w:color w:val="auto"/>
          <w:sz w:val="32"/>
          <w:szCs w:val="32"/>
        </w:rPr>
        <w:t>（三）承担和实施法律法规规定的任务，开展突发公共卫生事件监测与预警，提供应急储备的技术支持，组建市级突发公共卫生事件应急队伍，并对县区开展人员培训、指导县区进行现场演练和技术指导。组织和实施突发公共卫生事件监测、报告。指导县区级开展相关预测预警工作，跟踪监测报告辖区内突发公共卫生事件的发展态势。</w:t>
      </w:r>
    </w:p>
    <w:p w14:paraId="2ECA6CA7">
      <w:pPr>
        <w:snapToGrid w:val="0"/>
        <w:spacing w:line="520" w:lineRule="exact"/>
        <w:ind w:firstLine="640" w:firstLineChars="200"/>
        <w:rPr>
          <w:rFonts w:hint="eastAsia" w:ascii="仿宋" w:hAnsi="仿宋" w:eastAsia="仿宋" w:cs="仿宋"/>
          <w:color w:val="auto"/>
          <w:sz w:val="32"/>
          <w:szCs w:val="32"/>
        </w:rPr>
      </w:pPr>
      <w:r>
        <w:rPr>
          <w:rFonts w:hint="eastAsia" w:ascii="仿宋" w:hAnsi="仿宋" w:eastAsia="仿宋" w:cs="仿宋"/>
          <w:color w:val="auto"/>
          <w:sz w:val="32"/>
          <w:szCs w:val="32"/>
        </w:rPr>
        <w:t>（四）实施突发公共卫生事件处置技术方案，指导县区开展突发公共卫生事件调查处理，参加县区发生的较大突发公共卫生事件的现场处置、技术指导及督导工作，对县区内较大突发公共卫生事件处置进行评估和报告。</w:t>
      </w:r>
    </w:p>
    <w:p w14:paraId="0414BDED">
      <w:pPr>
        <w:snapToGrid w:val="0"/>
        <w:spacing w:line="520" w:lineRule="exact"/>
        <w:ind w:firstLine="640" w:firstLineChars="200"/>
        <w:rPr>
          <w:rFonts w:hint="eastAsia" w:ascii="仿宋" w:hAnsi="仿宋" w:eastAsia="仿宋" w:cs="仿宋"/>
          <w:color w:val="auto"/>
          <w:sz w:val="32"/>
          <w:szCs w:val="32"/>
        </w:rPr>
      </w:pPr>
      <w:r>
        <w:rPr>
          <w:rFonts w:hint="eastAsia" w:ascii="仿宋" w:hAnsi="仿宋" w:eastAsia="仿宋" w:cs="仿宋"/>
          <w:color w:val="auto"/>
          <w:sz w:val="32"/>
          <w:szCs w:val="32"/>
        </w:rPr>
        <w:t>（五）负责对市辖三区发生的重大突发公共卫生事件（重大疫情）和在全市范围内较大的突发公共卫生事件应急处置。</w:t>
      </w:r>
    </w:p>
    <w:p w14:paraId="5A9AB767">
      <w:pPr>
        <w:snapToGrid w:val="0"/>
        <w:spacing w:line="520" w:lineRule="exact"/>
        <w:ind w:firstLine="640" w:firstLineChars="200"/>
        <w:rPr>
          <w:rFonts w:hint="eastAsia" w:ascii="仿宋" w:hAnsi="仿宋" w:eastAsia="仿宋" w:cs="仿宋"/>
          <w:color w:val="auto"/>
          <w:sz w:val="32"/>
          <w:szCs w:val="32"/>
        </w:rPr>
      </w:pPr>
      <w:r>
        <w:rPr>
          <w:rFonts w:hint="eastAsia" w:ascii="仿宋" w:hAnsi="仿宋" w:eastAsia="仿宋" w:cs="仿宋"/>
          <w:color w:val="auto"/>
          <w:sz w:val="32"/>
          <w:szCs w:val="32"/>
        </w:rPr>
        <w:t>（六）落实疾病预防控制信息系统建设要求，推广应用疾病预防控制信息相关应用软件，完善网络直报信息系统。执行信息管理的相关标准、规范和制度，维护疾病预防控制信息系统的运行，及时更新各类数据，报告相关信息，保证信息安全和信息质量。</w:t>
      </w:r>
    </w:p>
    <w:p w14:paraId="1330B702">
      <w:pPr>
        <w:snapToGrid w:val="0"/>
        <w:spacing w:line="520" w:lineRule="exact"/>
        <w:ind w:firstLine="640" w:firstLineChars="200"/>
        <w:rPr>
          <w:rFonts w:hint="eastAsia" w:ascii="仿宋" w:hAnsi="仿宋" w:eastAsia="仿宋" w:cs="仿宋"/>
          <w:color w:val="auto"/>
          <w:sz w:val="32"/>
          <w:szCs w:val="32"/>
        </w:rPr>
      </w:pPr>
      <w:r>
        <w:rPr>
          <w:rFonts w:hint="eastAsia" w:ascii="仿宋" w:hAnsi="仿宋" w:eastAsia="仿宋" w:cs="仿宋"/>
          <w:color w:val="auto"/>
          <w:sz w:val="32"/>
          <w:szCs w:val="32"/>
        </w:rPr>
        <w:t>（七）执行信息分析报告制度，为卫生行政部门决策提供科学依据，为社会经济建设和社会公众提供信息服务。</w:t>
      </w:r>
    </w:p>
    <w:p w14:paraId="768BAA6D">
      <w:pPr>
        <w:snapToGrid w:val="0"/>
        <w:spacing w:line="520" w:lineRule="exact"/>
        <w:ind w:firstLine="640" w:firstLineChars="200"/>
        <w:rPr>
          <w:rFonts w:hint="eastAsia" w:ascii="仿宋" w:hAnsi="仿宋" w:eastAsia="仿宋" w:cs="仿宋"/>
          <w:color w:val="auto"/>
          <w:sz w:val="32"/>
          <w:szCs w:val="32"/>
        </w:rPr>
      </w:pPr>
      <w:r>
        <w:rPr>
          <w:rFonts w:hint="eastAsia" w:ascii="仿宋" w:hAnsi="仿宋" w:eastAsia="仿宋" w:cs="仿宋"/>
          <w:color w:val="auto"/>
          <w:sz w:val="32"/>
          <w:szCs w:val="32"/>
        </w:rPr>
        <w:t>（八）组织开展职业放射环境危害因素监测和干预工作，开展、指导职业危害环境污染、职业中毒的处置，参与放射事故等现场处置，参与相关疾病的诊断与鉴定。</w:t>
      </w:r>
    </w:p>
    <w:p w14:paraId="76A717DA">
      <w:pPr>
        <w:snapToGrid w:val="0"/>
        <w:spacing w:line="520" w:lineRule="exact"/>
        <w:ind w:firstLine="640" w:firstLineChars="200"/>
        <w:rPr>
          <w:rFonts w:hint="eastAsia" w:ascii="仿宋" w:hAnsi="仿宋" w:eastAsia="仿宋" w:cs="仿宋"/>
          <w:color w:val="auto"/>
          <w:sz w:val="32"/>
          <w:szCs w:val="32"/>
        </w:rPr>
      </w:pPr>
      <w:r>
        <w:rPr>
          <w:rFonts w:hint="eastAsia" w:ascii="仿宋" w:hAnsi="仿宋" w:eastAsia="仿宋" w:cs="仿宋"/>
          <w:color w:val="auto"/>
          <w:sz w:val="32"/>
          <w:szCs w:val="32"/>
        </w:rPr>
        <w:t>（九）执行食品安全和食源性疾病的预防控制规划和工作方案。组织开展食源性疾病和食品污染物的监测和报告，开展食品污染、食物中毒和食源性疾病的流行病学调查和处置。执行营养改善规划和方案，组织开展营养监测评价，参与营养相关重大事件的调查与处理。</w:t>
      </w:r>
    </w:p>
    <w:p w14:paraId="5B516662">
      <w:pPr>
        <w:snapToGrid w:val="0"/>
        <w:spacing w:line="520" w:lineRule="exact"/>
        <w:ind w:firstLine="640" w:firstLineChars="200"/>
        <w:rPr>
          <w:rFonts w:hint="eastAsia" w:ascii="仿宋" w:hAnsi="仿宋" w:eastAsia="仿宋" w:cs="仿宋"/>
          <w:color w:val="auto"/>
          <w:sz w:val="32"/>
          <w:szCs w:val="32"/>
        </w:rPr>
      </w:pPr>
      <w:r>
        <w:rPr>
          <w:rFonts w:hint="eastAsia" w:ascii="仿宋" w:hAnsi="仿宋" w:eastAsia="仿宋" w:cs="仿宋"/>
          <w:color w:val="auto"/>
          <w:sz w:val="32"/>
          <w:szCs w:val="32"/>
        </w:rPr>
        <w:t>（十）执行学生常见病预防控制规划及方案，组织开展学生常见病及其影响因素监测工作，实施评价学生常见病预防控制措施。</w:t>
      </w:r>
    </w:p>
    <w:p w14:paraId="4CDF4D42">
      <w:pPr>
        <w:snapToGrid w:val="0"/>
        <w:spacing w:line="520" w:lineRule="exact"/>
        <w:ind w:firstLine="640" w:firstLineChars="200"/>
        <w:rPr>
          <w:rFonts w:hint="eastAsia" w:ascii="仿宋" w:hAnsi="仿宋" w:eastAsia="仿宋" w:cs="仿宋"/>
          <w:color w:val="auto"/>
          <w:sz w:val="32"/>
          <w:szCs w:val="32"/>
        </w:rPr>
      </w:pPr>
      <w:r>
        <w:rPr>
          <w:rFonts w:hint="eastAsia" w:ascii="仿宋" w:hAnsi="仿宋" w:eastAsia="仿宋" w:cs="仿宋"/>
          <w:color w:val="auto"/>
          <w:sz w:val="32"/>
          <w:szCs w:val="32"/>
        </w:rPr>
        <w:t>（十一）负责全市免疫规划综合管理，制定并组织实施全市免疫规划有关工作计划和技术方案。负责全市免疫规划工作的业务指导、考核与技术培训。负责预防接种知识的咨询、宣传，开展预防接种健康教育、健康促进；负责疫苗可预防疾病的疫情监测和现场处置；组织开展预防接种服务，接种率监测和资料分析利用。</w:t>
      </w:r>
    </w:p>
    <w:p w14:paraId="633DA6A9">
      <w:pPr>
        <w:snapToGrid w:val="0"/>
        <w:spacing w:line="520" w:lineRule="exact"/>
        <w:ind w:firstLine="640" w:firstLineChars="200"/>
        <w:rPr>
          <w:rFonts w:hint="eastAsia" w:ascii="仿宋" w:hAnsi="仿宋" w:eastAsia="仿宋" w:cs="仿宋"/>
          <w:color w:val="auto"/>
          <w:sz w:val="32"/>
          <w:szCs w:val="32"/>
        </w:rPr>
      </w:pPr>
      <w:r>
        <w:rPr>
          <w:rFonts w:hint="eastAsia" w:ascii="仿宋" w:hAnsi="仿宋" w:eastAsia="仿宋" w:cs="仿宋"/>
          <w:color w:val="auto"/>
          <w:sz w:val="32"/>
          <w:szCs w:val="32"/>
        </w:rPr>
        <w:t xml:space="preserve">（十二）完善疾病预防控制实验室网络和质量控制体系。指导县区级疾控中心加强实验室基础设施建设、质量控制、安全防护和管理，推广应用相关的新技术、新方法，为社会提供相关评价和技术服务。负责全市病原微生物实验室生物备案、审查和安全管理工作。 </w:t>
      </w:r>
    </w:p>
    <w:p w14:paraId="6DE1CA98">
      <w:pPr>
        <w:snapToGrid w:val="0"/>
        <w:spacing w:line="520" w:lineRule="exact"/>
        <w:ind w:firstLine="640" w:firstLineChars="200"/>
        <w:rPr>
          <w:rFonts w:hint="eastAsia" w:ascii="仿宋" w:hAnsi="仿宋" w:eastAsia="仿宋" w:cs="仿宋"/>
          <w:color w:val="auto"/>
          <w:sz w:val="32"/>
          <w:szCs w:val="32"/>
        </w:rPr>
      </w:pPr>
      <w:r>
        <w:rPr>
          <w:rFonts w:hint="eastAsia" w:ascii="仿宋" w:hAnsi="仿宋" w:eastAsia="仿宋" w:cs="仿宋"/>
          <w:color w:val="auto"/>
          <w:sz w:val="32"/>
          <w:szCs w:val="32"/>
        </w:rPr>
        <w:t>（十三）开展微生物和寄生虫检测检验病原学鉴定，负责市级各类重大突发公共卫生事件微生物和寄生虫病学检测，按规定安全收集、管理重要菌种和毒种。对发生的重大及特殊的健康影响因素、有毒有害因素及中毒事件毒物的检测，开展环境健康效应因子检测评价和健康相关物品的毒性测定及功能评价。</w:t>
      </w:r>
    </w:p>
    <w:p w14:paraId="1283ECDC">
      <w:pPr>
        <w:snapToGrid w:val="0"/>
        <w:spacing w:line="520" w:lineRule="exact"/>
        <w:ind w:firstLine="640" w:firstLineChars="200"/>
        <w:rPr>
          <w:rFonts w:hint="eastAsia" w:ascii="仿宋" w:hAnsi="仿宋" w:eastAsia="仿宋" w:cs="仿宋"/>
          <w:color w:val="auto"/>
          <w:sz w:val="32"/>
          <w:szCs w:val="32"/>
        </w:rPr>
      </w:pPr>
      <w:r>
        <w:rPr>
          <w:rFonts w:hint="eastAsia" w:ascii="仿宋" w:hAnsi="仿宋" w:eastAsia="仿宋" w:cs="仿宋"/>
          <w:color w:val="auto"/>
          <w:sz w:val="32"/>
          <w:szCs w:val="32"/>
        </w:rPr>
        <w:t>（十四）开展食品、食品添加剂、非法添加物、食品包装材料理化指标的检验研究工作。为食源性疾病监控及食品污染物监测预警提供技术支持。开展生活饮用水、涉水产品和消毒剂理化指标、卫生指标的检验研究工作；开展作业场所危害因素、地方病健康危害因素、室内健康危害因素及环境危害因素的检验研究工作。为突发公共卫生事件化学毒物监测研究提供技术支持和研究平台。开展食物中毒、职业中毒、环境污染等突发性公共卫生事件的理化项目应急检验工作，为社会提供相关技术服务和指导。</w:t>
      </w:r>
    </w:p>
    <w:p w14:paraId="7CDF4D2D">
      <w:pPr>
        <w:snapToGrid w:val="0"/>
        <w:spacing w:line="520" w:lineRule="exact"/>
        <w:ind w:firstLine="640" w:firstLineChars="200"/>
        <w:rPr>
          <w:rFonts w:hint="eastAsia" w:ascii="仿宋" w:hAnsi="仿宋" w:eastAsia="仿宋" w:cs="仿宋"/>
          <w:color w:val="auto"/>
          <w:sz w:val="32"/>
          <w:szCs w:val="32"/>
        </w:rPr>
      </w:pPr>
      <w:r>
        <w:rPr>
          <w:rFonts w:hint="eastAsia" w:ascii="仿宋" w:hAnsi="仿宋" w:eastAsia="仿宋" w:cs="仿宋"/>
          <w:color w:val="auto"/>
          <w:sz w:val="32"/>
          <w:szCs w:val="32"/>
        </w:rPr>
        <w:t>（十五）开展新技术、新方法的研究及应用推广工作，负责对县区疾控机构进行检验技术的指导和培训。参与完成质量体系文件的制订及实验室认证工作，负责确认理化检验方法，积极实施室内室间质控，以保证检验质量。</w:t>
      </w:r>
    </w:p>
    <w:p w14:paraId="2061E1C5">
      <w:pPr>
        <w:snapToGrid w:val="0"/>
        <w:spacing w:line="520" w:lineRule="exact"/>
        <w:ind w:firstLine="640" w:firstLineChars="200"/>
        <w:rPr>
          <w:rFonts w:hint="eastAsia" w:ascii="仿宋" w:hAnsi="仿宋" w:eastAsia="仿宋" w:cs="仿宋"/>
          <w:color w:val="auto"/>
          <w:sz w:val="32"/>
          <w:szCs w:val="32"/>
        </w:rPr>
      </w:pPr>
      <w:r>
        <w:rPr>
          <w:rFonts w:hint="eastAsia" w:ascii="仿宋" w:hAnsi="仿宋" w:eastAsia="仿宋" w:cs="仿宋"/>
          <w:color w:val="auto"/>
          <w:sz w:val="32"/>
          <w:szCs w:val="32"/>
        </w:rPr>
        <w:t>（十六）执行健康教育规划，开展需求调查，制订辖区不同人群的疾病预防控制健康教育、健康促进方案。制定实施县区健康教育、健康促进方案，开展健康教育活动，指导县区健康教育和健康促进活动的开展。依照健康教育规划和方案，督导、检查和评估健康教育和健康促进活动效果。</w:t>
      </w:r>
    </w:p>
    <w:p w14:paraId="4ED5EDBE">
      <w:pPr>
        <w:snapToGrid w:val="0"/>
        <w:spacing w:line="520" w:lineRule="exact"/>
        <w:ind w:firstLine="640" w:firstLineChars="200"/>
        <w:rPr>
          <w:rFonts w:hint="eastAsia" w:ascii="仿宋" w:hAnsi="仿宋" w:eastAsia="仿宋" w:cs="仿宋"/>
          <w:color w:val="auto"/>
          <w:sz w:val="32"/>
          <w:szCs w:val="32"/>
        </w:rPr>
      </w:pPr>
      <w:r>
        <w:rPr>
          <w:rFonts w:hint="eastAsia" w:ascii="仿宋" w:hAnsi="仿宋" w:eastAsia="仿宋" w:cs="仿宋"/>
          <w:color w:val="auto"/>
          <w:sz w:val="32"/>
          <w:szCs w:val="32"/>
        </w:rPr>
        <w:t>（十七）负责县区疾病预防控制机构业务工作考核、督导和评价，指导县区开展业务培训，对县区疾病预防控制业务工作提供技术指导。建立市级疾病预防控制专家库，为县区提供技术支撑和咨询服务，开展疾病预防控制的应用性研究，推广适宜技术。</w:t>
      </w:r>
    </w:p>
    <w:p w14:paraId="4D58016C">
      <w:pPr>
        <w:snapToGrid w:val="0"/>
        <w:spacing w:line="520" w:lineRule="exact"/>
        <w:ind w:firstLine="640" w:firstLineChars="200"/>
        <w:rPr>
          <w:rFonts w:hint="eastAsia" w:ascii="仿宋" w:hAnsi="仿宋" w:eastAsia="仿宋" w:cs="仿宋"/>
          <w:color w:val="auto"/>
          <w:sz w:val="32"/>
          <w:szCs w:val="32"/>
        </w:rPr>
      </w:pPr>
      <w:r>
        <w:rPr>
          <w:rFonts w:hint="eastAsia" w:ascii="仿宋" w:hAnsi="仿宋" w:eastAsia="仿宋" w:cs="仿宋"/>
          <w:color w:val="auto"/>
          <w:sz w:val="32"/>
          <w:szCs w:val="32"/>
        </w:rPr>
        <w:t>（十八）负责市高新技术产业开发区、新型煤化工基地范围内疾病预防控制工作。</w:t>
      </w:r>
    </w:p>
    <w:p w14:paraId="438C8B73">
      <w:pPr>
        <w:snapToGrid w:val="0"/>
        <w:spacing w:line="520" w:lineRule="exact"/>
        <w:ind w:firstLine="640" w:firstLineChars="200"/>
        <w:rPr>
          <w:rFonts w:hint="eastAsia" w:ascii="TimesNewRoman" w:hAnsi="TimesNewRoman" w:eastAsia="黑体" w:cs="TimesNewRoman"/>
          <w:bCs/>
          <w:color w:val="auto"/>
          <w:sz w:val="32"/>
          <w:szCs w:val="32"/>
        </w:rPr>
      </w:pPr>
      <w:r>
        <w:rPr>
          <w:rFonts w:hint="eastAsia" w:ascii="仿宋" w:hAnsi="仿宋" w:eastAsia="仿宋" w:cs="仿宋"/>
          <w:color w:val="auto"/>
          <w:sz w:val="32"/>
          <w:szCs w:val="32"/>
        </w:rPr>
        <w:t>（十九）承担上级卫生行政部门及业务部门交给的其他任务。</w:t>
      </w:r>
    </w:p>
    <w:p w14:paraId="4604B619">
      <w:pPr>
        <w:pStyle w:val="4"/>
        <w:adjustRightInd w:val="0"/>
        <w:snapToGrid w:val="0"/>
        <w:spacing w:line="560" w:lineRule="exact"/>
        <w:ind w:firstLine="627" w:firstLineChars="196"/>
        <w:rPr>
          <w:rFonts w:ascii="TimesNewRoman" w:hAnsi="TimesNewRoman" w:eastAsia="楷体_GB2312" w:cs="TimesNewRoman"/>
          <w:color w:val="auto"/>
          <w:sz w:val="32"/>
          <w:szCs w:val="32"/>
        </w:rPr>
      </w:pPr>
      <w:r>
        <w:rPr>
          <w:rFonts w:hint="eastAsia" w:ascii="TimesNewRoman" w:hAnsi="TimesNewRoman" w:eastAsia="黑体" w:cs="TimesNewRoman"/>
          <w:bCs/>
          <w:color w:val="auto"/>
          <w:sz w:val="32"/>
          <w:szCs w:val="32"/>
        </w:rPr>
        <w:t>二、单位预算构成</w:t>
      </w:r>
    </w:p>
    <w:p w14:paraId="22BF35C1">
      <w:pPr>
        <w:pStyle w:val="4"/>
        <w:adjustRightInd w:val="0"/>
        <w:snapToGrid w:val="0"/>
        <w:spacing w:line="560" w:lineRule="exact"/>
        <w:ind w:firstLine="627" w:firstLineChars="196"/>
        <w:rPr>
          <w:rFonts w:hint="eastAsia" w:ascii="仿宋" w:hAnsi="仿宋" w:eastAsia="仿宋" w:cs="仿宋"/>
          <w:color w:val="auto"/>
          <w:sz w:val="32"/>
          <w:szCs w:val="32"/>
        </w:rPr>
      </w:pPr>
      <w:r>
        <w:rPr>
          <w:rFonts w:hint="eastAsia" w:ascii="仿宋" w:hAnsi="仿宋" w:eastAsia="仿宋" w:cs="仿宋"/>
          <w:color w:val="auto"/>
          <w:sz w:val="32"/>
          <w:szCs w:val="32"/>
        </w:rPr>
        <w:t>从预算单位构成看，</w:t>
      </w:r>
      <w:r>
        <w:rPr>
          <w:rFonts w:hint="eastAsia" w:ascii="仿宋" w:hAnsi="仿宋" w:eastAsia="仿宋" w:cs="仿宋"/>
          <w:bCs/>
          <w:color w:val="auto"/>
          <w:sz w:val="32"/>
          <w:szCs w:val="32"/>
          <w:lang w:val="en-US" w:eastAsia="zh-CN"/>
        </w:rPr>
        <w:t>淮北市疾病预防控制中心</w:t>
      </w:r>
      <w:r>
        <w:rPr>
          <w:rFonts w:hint="eastAsia" w:ascii="仿宋" w:hAnsi="仿宋" w:eastAsia="仿宋" w:cs="仿宋"/>
          <w:color w:val="auto"/>
          <w:sz w:val="32"/>
          <w:szCs w:val="32"/>
        </w:rPr>
        <w:t>2025年度</w:t>
      </w:r>
      <w:r>
        <w:rPr>
          <w:rFonts w:hint="eastAsia" w:ascii="仿宋" w:hAnsi="仿宋" w:eastAsia="仿宋" w:cs="仿宋"/>
          <w:color w:val="auto"/>
          <w:sz w:val="32"/>
          <w:szCs w:val="32"/>
          <w:lang w:val="en-US" w:eastAsia="zh-CN"/>
        </w:rPr>
        <w:t>单位</w:t>
      </w:r>
      <w:r>
        <w:rPr>
          <w:rFonts w:hint="eastAsia" w:ascii="仿宋" w:hAnsi="仿宋" w:eastAsia="仿宋" w:cs="仿宋"/>
          <w:color w:val="auto"/>
          <w:sz w:val="32"/>
          <w:szCs w:val="32"/>
        </w:rPr>
        <w:t>预算仅包括</w:t>
      </w:r>
      <w:r>
        <w:rPr>
          <w:rFonts w:hint="eastAsia" w:ascii="仿宋" w:hAnsi="仿宋" w:eastAsia="仿宋" w:cs="仿宋"/>
          <w:color w:val="auto"/>
          <w:sz w:val="32"/>
          <w:szCs w:val="32"/>
          <w:lang w:val="en-US" w:eastAsia="zh-CN"/>
        </w:rPr>
        <w:t>中心</w:t>
      </w:r>
      <w:r>
        <w:rPr>
          <w:rFonts w:hint="eastAsia" w:ascii="仿宋" w:hAnsi="仿宋" w:eastAsia="仿宋" w:cs="仿宋"/>
          <w:color w:val="auto"/>
          <w:sz w:val="32"/>
          <w:szCs w:val="32"/>
        </w:rPr>
        <w:t>本级预算，无其他下属单位预算。</w:t>
      </w:r>
    </w:p>
    <w:p w14:paraId="45A57508">
      <w:pPr>
        <w:pStyle w:val="4"/>
        <w:adjustRightInd w:val="0"/>
        <w:snapToGrid w:val="0"/>
        <w:spacing w:line="560" w:lineRule="exact"/>
        <w:ind w:firstLine="627" w:firstLineChars="196"/>
        <w:rPr>
          <w:rFonts w:hint="eastAsia" w:ascii="黑体" w:hAnsi="黑体" w:eastAsia="黑体" w:cs="黑体"/>
          <w:bCs/>
          <w:color w:val="auto"/>
          <w:sz w:val="32"/>
          <w:szCs w:val="32"/>
        </w:rPr>
      </w:pPr>
      <w:r>
        <w:rPr>
          <w:rFonts w:hint="eastAsia" w:ascii="TimesNewRoman" w:hAnsi="TimesNewRoman" w:eastAsia="黑体" w:cs="TimesNewRoman"/>
          <w:bCs/>
          <w:color w:val="auto"/>
          <w:sz w:val="32"/>
          <w:szCs w:val="32"/>
        </w:rPr>
        <w:t>三、</w:t>
      </w:r>
      <w:r>
        <w:rPr>
          <w:rFonts w:hint="eastAsia" w:ascii="黑体" w:hAnsi="黑体" w:eastAsia="黑体" w:cs="黑体"/>
          <w:bCs/>
          <w:color w:val="auto"/>
          <w:sz w:val="32"/>
          <w:szCs w:val="32"/>
        </w:rPr>
        <w:t>2025年度主要工作任务</w:t>
      </w:r>
    </w:p>
    <w:p w14:paraId="7444621B">
      <w:pPr>
        <w:numPr>
          <w:ilvl w:val="0"/>
          <w:numId w:val="1"/>
        </w:numPr>
        <w:ind w:firstLine="640" w:firstLineChars="200"/>
        <w:rPr>
          <w:rFonts w:hint="eastAsia" w:ascii="仿宋_GB2312" w:eastAsia="仿宋_GB2312"/>
          <w:color w:val="auto"/>
          <w:sz w:val="32"/>
          <w:szCs w:val="32"/>
        </w:rPr>
      </w:pPr>
      <w:r>
        <w:rPr>
          <w:rFonts w:hint="eastAsia" w:ascii="仿宋_GB2312" w:eastAsia="仿宋_GB2312"/>
          <w:color w:val="auto"/>
          <w:sz w:val="32"/>
          <w:szCs w:val="32"/>
        </w:rPr>
        <w:t>积极推进疾控体系建设、民生工程和公共卫生服务均等化；</w:t>
      </w:r>
    </w:p>
    <w:p w14:paraId="05C5EA2C">
      <w:pPr>
        <w:numPr>
          <w:ilvl w:val="0"/>
          <w:numId w:val="1"/>
        </w:numPr>
        <w:ind w:firstLine="640" w:firstLineChars="200"/>
        <w:rPr>
          <w:rFonts w:hint="eastAsia" w:ascii="仿宋_GB2312" w:eastAsia="仿宋_GB2312"/>
          <w:color w:val="auto"/>
          <w:sz w:val="32"/>
          <w:szCs w:val="32"/>
        </w:rPr>
      </w:pPr>
      <w:r>
        <w:rPr>
          <w:rFonts w:hint="eastAsia" w:ascii="仿宋_GB2312" w:eastAsia="仿宋_GB2312"/>
          <w:color w:val="auto"/>
          <w:sz w:val="32"/>
          <w:szCs w:val="32"/>
        </w:rPr>
        <w:t>继续抓好艾滋病和结核病防治等重大疾病等传染病防控工作；</w:t>
      </w:r>
    </w:p>
    <w:p w14:paraId="665EE44C">
      <w:pPr>
        <w:numPr>
          <w:ilvl w:val="0"/>
          <w:numId w:val="1"/>
        </w:numPr>
        <w:ind w:firstLine="640" w:firstLineChars="200"/>
        <w:rPr>
          <w:rFonts w:hint="eastAsia" w:ascii="仿宋_GB2312" w:eastAsia="仿宋_GB2312"/>
          <w:color w:val="auto"/>
          <w:sz w:val="32"/>
          <w:szCs w:val="32"/>
        </w:rPr>
      </w:pPr>
      <w:r>
        <w:rPr>
          <w:rFonts w:hint="eastAsia" w:ascii="仿宋_GB2312" w:eastAsia="仿宋_GB2312"/>
          <w:color w:val="auto"/>
          <w:sz w:val="32"/>
          <w:szCs w:val="32"/>
        </w:rPr>
        <w:t>进一步规范免疫规划工作，预防和控制疫苗可预防传染病；</w:t>
      </w:r>
    </w:p>
    <w:p w14:paraId="1DBAC073">
      <w:pPr>
        <w:numPr>
          <w:ilvl w:val="0"/>
          <w:numId w:val="1"/>
        </w:numPr>
        <w:ind w:firstLine="640" w:firstLineChars="200"/>
        <w:rPr>
          <w:rFonts w:hint="eastAsia" w:ascii="仿宋_GB2312" w:eastAsia="仿宋_GB2312"/>
          <w:color w:val="auto"/>
          <w:sz w:val="32"/>
          <w:szCs w:val="32"/>
        </w:rPr>
      </w:pPr>
      <w:r>
        <w:rPr>
          <w:rFonts w:hint="eastAsia" w:ascii="仿宋_GB2312" w:eastAsia="仿宋_GB2312"/>
          <w:color w:val="auto"/>
          <w:sz w:val="32"/>
          <w:szCs w:val="32"/>
        </w:rPr>
        <w:t>加强慢性非传染性疾病、地方病防控工作和精神卫生工作；</w:t>
      </w:r>
    </w:p>
    <w:p w14:paraId="6817F484">
      <w:pPr>
        <w:numPr>
          <w:ilvl w:val="0"/>
          <w:numId w:val="1"/>
        </w:numPr>
        <w:ind w:firstLine="640" w:firstLineChars="200"/>
        <w:rPr>
          <w:rFonts w:hint="eastAsia" w:ascii="仿宋_GB2312" w:eastAsia="仿宋_GB2312"/>
          <w:color w:val="auto"/>
          <w:sz w:val="32"/>
          <w:szCs w:val="32"/>
        </w:rPr>
      </w:pPr>
      <w:r>
        <w:rPr>
          <w:rFonts w:hint="eastAsia" w:ascii="仿宋_GB2312" w:eastAsia="仿宋_GB2312"/>
          <w:color w:val="auto"/>
          <w:sz w:val="32"/>
          <w:szCs w:val="32"/>
        </w:rPr>
        <w:t>提高传染病疫情预测预警能力，及时审核、分析疫情报告和信息资料，提升预测预警能力；</w:t>
      </w:r>
    </w:p>
    <w:p w14:paraId="54413F4E">
      <w:pPr>
        <w:numPr>
          <w:ilvl w:val="0"/>
          <w:numId w:val="1"/>
        </w:numPr>
        <w:ind w:firstLine="640" w:firstLineChars="200"/>
        <w:rPr>
          <w:rFonts w:hint="eastAsia" w:ascii="仿宋_GB2312" w:eastAsia="仿宋_GB2312"/>
          <w:color w:val="auto"/>
          <w:sz w:val="32"/>
          <w:szCs w:val="32"/>
        </w:rPr>
      </w:pPr>
      <w:r>
        <w:rPr>
          <w:rFonts w:hint="eastAsia" w:ascii="仿宋_GB2312" w:eastAsia="仿宋_GB2312"/>
          <w:color w:val="auto"/>
          <w:sz w:val="32"/>
          <w:szCs w:val="32"/>
        </w:rPr>
        <w:t>加强实验室能力建设，提升实验室服务水平；</w:t>
      </w:r>
    </w:p>
    <w:p w14:paraId="1285E7BB">
      <w:pPr>
        <w:numPr>
          <w:ilvl w:val="0"/>
          <w:numId w:val="1"/>
        </w:numPr>
        <w:ind w:firstLine="640" w:firstLineChars="200"/>
        <w:rPr>
          <w:rFonts w:hint="eastAsia" w:ascii="仿宋_GB2312" w:eastAsia="仿宋_GB2312"/>
          <w:color w:val="auto"/>
          <w:sz w:val="32"/>
          <w:szCs w:val="32"/>
        </w:rPr>
      </w:pPr>
      <w:r>
        <w:rPr>
          <w:rFonts w:hint="eastAsia" w:ascii="仿宋_GB2312" w:eastAsia="仿宋_GB2312"/>
          <w:color w:val="auto"/>
          <w:sz w:val="32"/>
          <w:szCs w:val="32"/>
        </w:rPr>
        <w:t>加强科学管理，促进行业作风建设；</w:t>
      </w:r>
    </w:p>
    <w:p w14:paraId="33BDFF74">
      <w:pPr>
        <w:numPr>
          <w:ilvl w:val="0"/>
          <w:numId w:val="1"/>
        </w:numPr>
        <w:ind w:firstLine="640" w:firstLineChars="200"/>
        <w:rPr>
          <w:rFonts w:hint="eastAsia" w:ascii="仿宋_GB2312" w:eastAsia="仿宋_GB2312"/>
          <w:color w:val="auto"/>
          <w:sz w:val="32"/>
          <w:szCs w:val="32"/>
        </w:rPr>
      </w:pPr>
      <w:r>
        <w:rPr>
          <w:rFonts w:hint="eastAsia" w:ascii="仿宋_GB2312" w:eastAsia="仿宋_GB2312"/>
          <w:color w:val="auto"/>
          <w:sz w:val="32"/>
          <w:szCs w:val="32"/>
        </w:rPr>
        <w:t xml:space="preserve">做好市疾控中心搬迁新址相关工作。  </w:t>
      </w:r>
    </w:p>
    <w:p w14:paraId="51F3D9AA">
      <w:pPr>
        <w:pStyle w:val="4"/>
        <w:adjustRightInd w:val="0"/>
        <w:snapToGrid w:val="0"/>
        <w:spacing w:line="560" w:lineRule="exact"/>
        <w:jc w:val="center"/>
        <w:rPr>
          <w:rFonts w:ascii="TimesNewRoman" w:hAnsi="TimesNewRoman" w:eastAsia="黑体" w:cs="TimesNewRoman"/>
          <w:bCs/>
          <w:color w:val="auto"/>
          <w:sz w:val="36"/>
          <w:szCs w:val="36"/>
        </w:rPr>
      </w:pPr>
      <w:r>
        <w:rPr>
          <w:rFonts w:hint="eastAsia" w:ascii="TimesNewRoman" w:hAnsi="TimesNewRoman" w:eastAsia="黑体" w:cs="TimesNewRoman"/>
          <w:bCs/>
          <w:color w:val="auto"/>
          <w:sz w:val="36"/>
          <w:szCs w:val="36"/>
        </w:rPr>
        <w:t xml:space="preserve">第二部分 </w:t>
      </w:r>
      <w:r>
        <w:rPr>
          <w:rFonts w:hint="eastAsia" w:ascii="黑体" w:hAnsi="黑体" w:eastAsia="黑体" w:cs="黑体"/>
          <w:bCs/>
          <w:color w:val="auto"/>
          <w:sz w:val="36"/>
          <w:szCs w:val="36"/>
        </w:rPr>
        <w:t>2025年单位预</w:t>
      </w:r>
      <w:r>
        <w:rPr>
          <w:rFonts w:hint="eastAsia" w:ascii="TimesNewRoman" w:hAnsi="TimesNewRoman" w:eastAsia="黑体" w:cs="TimesNewRoman"/>
          <w:bCs/>
          <w:color w:val="auto"/>
          <w:sz w:val="36"/>
          <w:szCs w:val="36"/>
        </w:rPr>
        <w:t>算表</w:t>
      </w:r>
    </w:p>
    <w:p w14:paraId="15DF2D61">
      <w:pPr>
        <w:pStyle w:val="4"/>
        <w:adjustRightInd w:val="0"/>
        <w:snapToGrid w:val="0"/>
        <w:spacing w:line="560" w:lineRule="exact"/>
        <w:ind w:firstLine="627" w:firstLineChars="196"/>
        <w:jc w:val="center"/>
        <w:rPr>
          <w:rFonts w:ascii="TimesNewRoman" w:hAnsi="TimesNewRoman" w:eastAsia="仿宋_GB2312" w:cs="TimesNewRoman"/>
          <w:bCs/>
          <w:color w:val="auto"/>
          <w:sz w:val="32"/>
          <w:szCs w:val="32"/>
        </w:rPr>
      </w:pPr>
      <w:r>
        <w:rPr>
          <w:rFonts w:hint="eastAsia" w:ascii="仿宋" w:hAnsi="仿宋" w:eastAsia="仿宋" w:cs="仿宋"/>
          <w:bCs/>
          <w:color w:val="auto"/>
          <w:sz w:val="32"/>
          <w:szCs w:val="32"/>
        </w:rPr>
        <w:t>见附件1-2</w:t>
      </w:r>
    </w:p>
    <w:p w14:paraId="130071BE">
      <w:pPr>
        <w:rPr>
          <w:color w:val="auto"/>
        </w:rPr>
      </w:pPr>
      <w:r>
        <w:rPr>
          <w:color w:val="auto"/>
        </w:rPr>
        <w:t xml:space="preserve">                                        </w:t>
      </w:r>
    </w:p>
    <w:p w14:paraId="0A45D1A7">
      <w:pPr>
        <w:pStyle w:val="4"/>
        <w:adjustRightInd w:val="0"/>
        <w:snapToGrid w:val="0"/>
        <w:spacing w:line="560" w:lineRule="exact"/>
        <w:jc w:val="center"/>
        <w:rPr>
          <w:rFonts w:ascii="TimesNewRoman" w:hAnsi="TimesNewRoman" w:eastAsia="黑体" w:cs="TimesNewRoman"/>
          <w:bCs/>
          <w:color w:val="auto"/>
          <w:sz w:val="36"/>
          <w:szCs w:val="36"/>
        </w:rPr>
      </w:pPr>
      <w:r>
        <w:rPr>
          <w:rFonts w:hint="eastAsia" w:ascii="TimesNewRoman" w:hAnsi="TimesNewRoman" w:eastAsia="黑体" w:cs="TimesNewRoman"/>
          <w:bCs/>
          <w:color w:val="auto"/>
          <w:sz w:val="36"/>
          <w:szCs w:val="36"/>
        </w:rPr>
        <w:t>第三部</w:t>
      </w:r>
      <w:r>
        <w:rPr>
          <w:rFonts w:hint="eastAsia" w:ascii="黑体" w:hAnsi="黑体" w:eastAsia="黑体" w:cs="黑体"/>
          <w:bCs/>
          <w:color w:val="auto"/>
          <w:sz w:val="36"/>
          <w:szCs w:val="36"/>
        </w:rPr>
        <w:t>分 2025年</w:t>
      </w:r>
      <w:r>
        <w:rPr>
          <w:rFonts w:hint="eastAsia" w:ascii="TimesNewRoman" w:hAnsi="TimesNewRoman" w:eastAsia="黑体" w:cs="TimesNewRoman"/>
          <w:bCs/>
          <w:color w:val="auto"/>
          <w:sz w:val="36"/>
          <w:szCs w:val="36"/>
        </w:rPr>
        <w:t>单位预算情况说明</w:t>
      </w:r>
    </w:p>
    <w:p w14:paraId="095AF6E5">
      <w:pPr>
        <w:rPr>
          <w:color w:val="auto"/>
        </w:rPr>
      </w:pPr>
    </w:p>
    <w:p w14:paraId="38806368">
      <w:pPr>
        <w:pStyle w:val="4"/>
        <w:adjustRightInd w:val="0"/>
        <w:snapToGrid w:val="0"/>
        <w:spacing w:line="560" w:lineRule="exact"/>
        <w:ind w:firstLine="627" w:firstLineChars="196"/>
        <w:rPr>
          <w:rFonts w:ascii="TimesNewRoman" w:hAnsi="TimesNewRoman" w:eastAsia="黑体" w:cs="TimesNewRoman"/>
          <w:bCs/>
          <w:color w:val="auto"/>
          <w:sz w:val="32"/>
          <w:szCs w:val="32"/>
        </w:rPr>
      </w:pPr>
      <w:r>
        <w:rPr>
          <w:rFonts w:hint="eastAsia" w:ascii="TimesNewRoman" w:hAnsi="TimesNewRoman" w:eastAsia="黑体" w:cs="TimesNewRoman"/>
          <w:bCs/>
          <w:color w:val="auto"/>
          <w:sz w:val="32"/>
          <w:szCs w:val="32"/>
        </w:rPr>
        <w:t>一、关</w:t>
      </w:r>
      <w:r>
        <w:rPr>
          <w:rFonts w:hint="eastAsia" w:ascii="黑体" w:hAnsi="黑体" w:eastAsia="黑体" w:cs="黑体"/>
          <w:bCs/>
          <w:color w:val="auto"/>
          <w:sz w:val="32"/>
          <w:szCs w:val="32"/>
        </w:rPr>
        <w:t>于2025年收</w:t>
      </w:r>
      <w:r>
        <w:rPr>
          <w:rFonts w:hint="eastAsia" w:ascii="TimesNewRoman" w:hAnsi="TimesNewRoman" w:eastAsia="黑体" w:cs="TimesNewRoman"/>
          <w:bCs/>
          <w:color w:val="auto"/>
          <w:sz w:val="32"/>
          <w:szCs w:val="32"/>
        </w:rPr>
        <w:t>支总表的说明</w:t>
      </w:r>
    </w:p>
    <w:p w14:paraId="1AFCD308">
      <w:pPr>
        <w:pStyle w:val="4"/>
        <w:adjustRightInd w:val="0"/>
        <w:snapToGrid w:val="0"/>
        <w:spacing w:line="560" w:lineRule="exact"/>
        <w:ind w:firstLine="627" w:firstLineChars="196"/>
        <w:rPr>
          <w:rFonts w:hint="eastAsia" w:ascii="仿宋" w:hAnsi="仿宋" w:eastAsia="仿宋" w:cs="仿宋"/>
          <w:color w:val="auto"/>
          <w:sz w:val="32"/>
          <w:szCs w:val="32"/>
        </w:rPr>
      </w:pPr>
      <w:r>
        <w:rPr>
          <w:rFonts w:hint="eastAsia" w:ascii="仿宋" w:hAnsi="仿宋" w:eastAsia="仿宋" w:cs="仿宋"/>
          <w:color w:val="auto"/>
          <w:sz w:val="32"/>
          <w:szCs w:val="32"/>
        </w:rPr>
        <w:t>按照综合预算的原则，</w:t>
      </w:r>
      <w:r>
        <w:rPr>
          <w:rFonts w:hint="eastAsia" w:ascii="仿宋" w:hAnsi="仿宋" w:eastAsia="仿宋" w:cs="仿宋"/>
          <w:color w:val="auto"/>
          <w:sz w:val="32"/>
          <w:szCs w:val="32"/>
          <w:lang w:val="en-US" w:eastAsia="zh-CN"/>
        </w:rPr>
        <w:t>淮北市疾病预防控制中心</w:t>
      </w:r>
      <w:r>
        <w:rPr>
          <w:rFonts w:hint="eastAsia" w:ascii="仿宋" w:hAnsi="仿宋" w:eastAsia="仿宋" w:cs="仿宋"/>
          <w:color w:val="auto"/>
          <w:sz w:val="32"/>
          <w:szCs w:val="32"/>
        </w:rPr>
        <w:t>所有收入和支出均纳入单位预算管理。</w:t>
      </w:r>
      <w:r>
        <w:rPr>
          <w:rFonts w:hint="eastAsia" w:ascii="仿宋" w:hAnsi="仿宋" w:eastAsia="仿宋" w:cs="仿宋"/>
          <w:color w:val="auto"/>
          <w:sz w:val="32"/>
          <w:szCs w:val="32"/>
          <w:lang w:val="en-US" w:eastAsia="zh-CN"/>
        </w:rPr>
        <w:t>淮北市疾病预防控制中心</w:t>
      </w:r>
      <w:r>
        <w:rPr>
          <w:rFonts w:hint="eastAsia" w:ascii="仿宋" w:hAnsi="仿宋" w:eastAsia="仿宋" w:cs="仿宋"/>
          <w:color w:val="auto"/>
          <w:sz w:val="32"/>
          <w:szCs w:val="32"/>
        </w:rPr>
        <w:t>2025年收支总预算2349.94万元，收入全部是一般公共预算拨款收入2349.94万元，支出包括：社会保障和就业支出、卫生健康支出、住房保障支出。</w:t>
      </w:r>
    </w:p>
    <w:p w14:paraId="141C5E75">
      <w:pPr>
        <w:pStyle w:val="4"/>
        <w:adjustRightInd w:val="0"/>
        <w:snapToGrid w:val="0"/>
        <w:spacing w:line="560" w:lineRule="exact"/>
        <w:ind w:firstLine="627" w:firstLineChars="196"/>
        <w:rPr>
          <w:rFonts w:ascii="TimesNewRoman" w:hAnsi="TimesNewRoman" w:eastAsia="黑体" w:cs="TimesNewRoman"/>
          <w:bCs/>
          <w:color w:val="auto"/>
          <w:sz w:val="32"/>
          <w:szCs w:val="32"/>
        </w:rPr>
      </w:pPr>
      <w:r>
        <w:rPr>
          <w:rFonts w:hint="eastAsia" w:ascii="TimesNewRoman" w:hAnsi="TimesNewRoman" w:eastAsia="黑体" w:cs="TimesNewRoman"/>
          <w:bCs/>
          <w:color w:val="auto"/>
          <w:sz w:val="32"/>
          <w:szCs w:val="32"/>
        </w:rPr>
        <w:t>二、</w:t>
      </w:r>
      <w:r>
        <w:rPr>
          <w:rFonts w:hint="eastAsia" w:ascii="黑体" w:hAnsi="黑体" w:eastAsia="黑体" w:cs="黑体"/>
          <w:bCs/>
          <w:color w:val="auto"/>
          <w:sz w:val="32"/>
          <w:szCs w:val="32"/>
        </w:rPr>
        <w:t>关于2025年收入总表的</w:t>
      </w:r>
      <w:r>
        <w:rPr>
          <w:rFonts w:hint="eastAsia" w:ascii="TimesNewRoman" w:hAnsi="TimesNewRoman" w:eastAsia="黑体" w:cs="TimesNewRoman"/>
          <w:bCs/>
          <w:color w:val="auto"/>
          <w:sz w:val="32"/>
          <w:szCs w:val="32"/>
        </w:rPr>
        <w:t>说明</w:t>
      </w:r>
    </w:p>
    <w:p w14:paraId="0FE82E20">
      <w:pPr>
        <w:ind w:firstLine="640" w:firstLineChars="200"/>
        <w:rPr>
          <w:rFonts w:hint="eastAsia" w:ascii="仿宋" w:hAnsi="仿宋" w:eastAsia="仿宋" w:cs="仿宋"/>
          <w:color w:val="auto"/>
          <w:kern w:val="0"/>
          <w:sz w:val="32"/>
          <w:szCs w:val="32"/>
        </w:rPr>
      </w:pPr>
      <w:r>
        <w:rPr>
          <w:rFonts w:hint="eastAsia" w:ascii="仿宋" w:hAnsi="仿宋" w:eastAsia="仿宋" w:cs="仿宋"/>
          <w:color w:val="auto"/>
          <w:kern w:val="0"/>
          <w:sz w:val="32"/>
          <w:szCs w:val="32"/>
        </w:rPr>
        <w:t>淮北市</w:t>
      </w:r>
      <w:r>
        <w:rPr>
          <w:rFonts w:hint="eastAsia" w:ascii="仿宋" w:hAnsi="仿宋" w:eastAsia="仿宋" w:cs="仿宋"/>
          <w:color w:val="auto"/>
          <w:kern w:val="0"/>
          <w:sz w:val="32"/>
          <w:szCs w:val="32"/>
          <w:lang w:val="en-US" w:eastAsia="zh-CN"/>
        </w:rPr>
        <w:t>疾病预防控制中心</w:t>
      </w:r>
      <w:r>
        <w:rPr>
          <w:rFonts w:hint="eastAsia" w:ascii="仿宋" w:hAnsi="仿宋" w:eastAsia="仿宋" w:cs="仿宋"/>
          <w:color w:val="auto"/>
          <w:kern w:val="0"/>
          <w:sz w:val="32"/>
          <w:szCs w:val="32"/>
        </w:rPr>
        <w:t>2025年收入预算</w:t>
      </w:r>
      <w:r>
        <w:rPr>
          <w:rFonts w:hint="eastAsia" w:ascii="仿宋" w:hAnsi="仿宋" w:eastAsia="仿宋" w:cs="仿宋"/>
          <w:color w:val="auto"/>
          <w:sz w:val="32"/>
          <w:szCs w:val="32"/>
        </w:rPr>
        <w:t>2349.94</w:t>
      </w:r>
      <w:r>
        <w:rPr>
          <w:rFonts w:hint="eastAsia" w:ascii="仿宋" w:hAnsi="仿宋" w:eastAsia="仿宋" w:cs="仿宋"/>
          <w:color w:val="auto"/>
          <w:kern w:val="0"/>
          <w:sz w:val="32"/>
          <w:szCs w:val="32"/>
        </w:rPr>
        <w:t>万元，其中，本年收入</w:t>
      </w:r>
      <w:r>
        <w:rPr>
          <w:rFonts w:hint="eastAsia" w:ascii="仿宋" w:hAnsi="仿宋" w:eastAsia="仿宋" w:cs="仿宋"/>
          <w:color w:val="auto"/>
          <w:sz w:val="32"/>
          <w:szCs w:val="32"/>
        </w:rPr>
        <w:t>2349.94</w:t>
      </w:r>
      <w:r>
        <w:rPr>
          <w:rFonts w:hint="eastAsia" w:ascii="仿宋" w:hAnsi="仿宋" w:eastAsia="仿宋" w:cs="仿宋"/>
          <w:color w:val="auto"/>
          <w:kern w:val="0"/>
          <w:sz w:val="32"/>
          <w:szCs w:val="32"/>
        </w:rPr>
        <w:t>万元。</w:t>
      </w:r>
    </w:p>
    <w:p w14:paraId="5B5448D5">
      <w:pPr>
        <w:ind w:firstLine="643" w:firstLineChars="200"/>
        <w:rPr>
          <w:rFonts w:hint="eastAsia" w:ascii="仿宋" w:hAnsi="仿宋" w:eastAsia="仿宋" w:cs="仿宋"/>
          <w:color w:val="auto"/>
          <w:kern w:val="0"/>
          <w:sz w:val="32"/>
          <w:szCs w:val="32"/>
        </w:rPr>
      </w:pPr>
      <w:r>
        <w:rPr>
          <w:rFonts w:hint="eastAsia" w:ascii="仿宋" w:hAnsi="仿宋" w:eastAsia="仿宋" w:cs="仿宋"/>
          <w:b/>
          <w:color w:val="auto"/>
          <w:kern w:val="0"/>
          <w:sz w:val="32"/>
          <w:szCs w:val="32"/>
        </w:rPr>
        <w:t>（一）本年收入2349.94万元，</w:t>
      </w:r>
      <w:r>
        <w:rPr>
          <w:rFonts w:hint="eastAsia" w:ascii="仿宋" w:hAnsi="仿宋" w:eastAsia="仿宋" w:cs="仿宋"/>
          <w:color w:val="auto"/>
          <w:kern w:val="0"/>
          <w:sz w:val="32"/>
          <w:szCs w:val="32"/>
        </w:rPr>
        <w:t>主要包括：一般公共预算拨款收入2349.94万元，占</w:t>
      </w:r>
      <w:r>
        <w:rPr>
          <w:rFonts w:hint="eastAsia" w:ascii="仿宋" w:hAnsi="仿宋" w:eastAsia="仿宋" w:cs="仿宋"/>
          <w:color w:val="auto"/>
          <w:kern w:val="0"/>
          <w:sz w:val="32"/>
          <w:szCs w:val="32"/>
          <w:lang w:val="en-US" w:eastAsia="zh-CN"/>
        </w:rPr>
        <w:t>100</w:t>
      </w:r>
      <w:r>
        <w:rPr>
          <w:rFonts w:hint="eastAsia" w:ascii="仿宋" w:hAnsi="仿宋" w:eastAsia="仿宋" w:cs="仿宋"/>
          <w:color w:val="auto"/>
          <w:kern w:val="0"/>
          <w:sz w:val="32"/>
          <w:szCs w:val="32"/>
        </w:rPr>
        <w:t>%，比2024年预算减少146.67万元，下降</w:t>
      </w:r>
      <w:r>
        <w:rPr>
          <w:rFonts w:hint="eastAsia" w:ascii="仿宋" w:hAnsi="仿宋" w:eastAsia="仿宋" w:cs="仿宋"/>
          <w:color w:val="auto"/>
          <w:kern w:val="0"/>
          <w:sz w:val="32"/>
          <w:szCs w:val="32"/>
          <w:lang w:val="en-US" w:eastAsia="zh-CN"/>
        </w:rPr>
        <w:t>5.87</w:t>
      </w:r>
      <w:r>
        <w:rPr>
          <w:rFonts w:hint="eastAsia" w:ascii="仿宋" w:hAnsi="仿宋" w:eastAsia="仿宋" w:cs="仿宋"/>
          <w:color w:val="auto"/>
          <w:kern w:val="0"/>
          <w:sz w:val="32"/>
          <w:szCs w:val="32"/>
        </w:rPr>
        <w:t>%，原因主要是</w:t>
      </w:r>
      <w:r>
        <w:rPr>
          <w:rFonts w:hint="eastAsia" w:ascii="仿宋" w:hAnsi="仿宋" w:eastAsia="仿宋" w:cs="仿宋"/>
          <w:color w:val="auto"/>
          <w:kern w:val="0"/>
          <w:sz w:val="32"/>
          <w:szCs w:val="32"/>
          <w:lang w:val="en-US" w:eastAsia="zh-CN"/>
        </w:rPr>
        <w:t>1、在职人员减少、退休人员增加，故基本支出减少；2、非税收入减少</w:t>
      </w:r>
      <w:r>
        <w:rPr>
          <w:rFonts w:hint="eastAsia" w:ascii="仿宋" w:hAnsi="仿宋" w:eastAsia="仿宋" w:cs="仿宋"/>
          <w:color w:val="auto"/>
          <w:kern w:val="0"/>
          <w:sz w:val="32"/>
          <w:szCs w:val="32"/>
        </w:rPr>
        <w:t>；政府性基金预算拨款收入</w:t>
      </w:r>
      <w:r>
        <w:rPr>
          <w:rFonts w:hint="eastAsia" w:ascii="仿宋" w:hAnsi="仿宋" w:eastAsia="仿宋" w:cs="仿宋"/>
          <w:color w:val="auto"/>
          <w:kern w:val="0"/>
          <w:sz w:val="32"/>
          <w:szCs w:val="32"/>
          <w:lang w:val="en-US" w:eastAsia="zh-CN"/>
        </w:rPr>
        <w:t>0</w:t>
      </w:r>
      <w:r>
        <w:rPr>
          <w:rFonts w:hint="eastAsia" w:ascii="仿宋" w:hAnsi="仿宋" w:eastAsia="仿宋" w:cs="仿宋"/>
          <w:color w:val="auto"/>
          <w:kern w:val="0"/>
          <w:sz w:val="32"/>
          <w:szCs w:val="32"/>
        </w:rPr>
        <w:t>万元，占</w:t>
      </w:r>
      <w:r>
        <w:rPr>
          <w:rFonts w:hint="eastAsia" w:ascii="仿宋" w:hAnsi="仿宋" w:eastAsia="仿宋" w:cs="仿宋"/>
          <w:color w:val="auto"/>
          <w:kern w:val="0"/>
          <w:sz w:val="32"/>
          <w:szCs w:val="32"/>
          <w:lang w:val="en-US" w:eastAsia="zh-CN"/>
        </w:rPr>
        <w:t>0</w:t>
      </w:r>
      <w:r>
        <w:rPr>
          <w:rFonts w:hint="eastAsia" w:ascii="仿宋" w:hAnsi="仿宋" w:eastAsia="仿宋" w:cs="仿宋"/>
          <w:color w:val="auto"/>
          <w:kern w:val="0"/>
          <w:sz w:val="32"/>
          <w:szCs w:val="32"/>
        </w:rPr>
        <w:t>%，比2024年预算增加</w:t>
      </w:r>
      <w:r>
        <w:rPr>
          <w:rFonts w:hint="eastAsia" w:ascii="仿宋" w:hAnsi="仿宋" w:eastAsia="仿宋" w:cs="仿宋"/>
          <w:color w:val="auto"/>
          <w:kern w:val="0"/>
          <w:sz w:val="32"/>
          <w:szCs w:val="32"/>
          <w:lang w:val="en-US" w:eastAsia="zh-CN"/>
        </w:rPr>
        <w:t>0</w:t>
      </w:r>
      <w:r>
        <w:rPr>
          <w:rFonts w:hint="eastAsia" w:ascii="仿宋" w:hAnsi="仿宋" w:eastAsia="仿宋" w:cs="仿宋"/>
          <w:color w:val="auto"/>
          <w:kern w:val="0"/>
          <w:sz w:val="32"/>
          <w:szCs w:val="32"/>
        </w:rPr>
        <w:t>万元，增长</w:t>
      </w:r>
      <w:r>
        <w:rPr>
          <w:rFonts w:hint="eastAsia" w:ascii="仿宋" w:hAnsi="仿宋" w:eastAsia="仿宋" w:cs="仿宋"/>
          <w:color w:val="auto"/>
          <w:kern w:val="0"/>
          <w:sz w:val="32"/>
          <w:szCs w:val="32"/>
          <w:lang w:val="en-US" w:eastAsia="zh-CN"/>
        </w:rPr>
        <w:t>0</w:t>
      </w:r>
      <w:r>
        <w:rPr>
          <w:rFonts w:hint="eastAsia" w:ascii="仿宋" w:hAnsi="仿宋" w:eastAsia="仿宋" w:cs="仿宋"/>
          <w:color w:val="auto"/>
          <w:kern w:val="0"/>
          <w:sz w:val="32"/>
          <w:szCs w:val="32"/>
        </w:rPr>
        <w:t>%，原因主要是</w:t>
      </w:r>
      <w:r>
        <w:rPr>
          <w:rFonts w:hint="eastAsia" w:ascii="仿宋_GB2312" w:eastAsia="仿宋_GB2312"/>
          <w:color w:val="auto"/>
          <w:sz w:val="32"/>
          <w:szCs w:val="32"/>
        </w:rPr>
        <w:t>本单位无政府性基金预算收入</w:t>
      </w:r>
      <w:r>
        <w:rPr>
          <w:rFonts w:hint="eastAsia" w:ascii="仿宋" w:hAnsi="仿宋" w:eastAsia="仿宋" w:cs="仿宋"/>
          <w:color w:val="auto"/>
          <w:kern w:val="0"/>
          <w:sz w:val="32"/>
          <w:szCs w:val="32"/>
        </w:rPr>
        <w:t>；财政专户管理资金收入</w:t>
      </w:r>
      <w:r>
        <w:rPr>
          <w:rFonts w:hint="eastAsia" w:ascii="仿宋" w:hAnsi="仿宋" w:eastAsia="仿宋" w:cs="仿宋"/>
          <w:color w:val="auto"/>
          <w:kern w:val="0"/>
          <w:sz w:val="32"/>
          <w:szCs w:val="32"/>
          <w:lang w:val="en-US" w:eastAsia="zh-CN"/>
        </w:rPr>
        <w:t>0</w:t>
      </w:r>
      <w:r>
        <w:rPr>
          <w:rFonts w:hint="eastAsia" w:ascii="仿宋" w:hAnsi="仿宋" w:eastAsia="仿宋" w:cs="仿宋"/>
          <w:color w:val="auto"/>
          <w:kern w:val="0"/>
          <w:sz w:val="32"/>
          <w:szCs w:val="32"/>
        </w:rPr>
        <w:t>万元，占</w:t>
      </w:r>
      <w:r>
        <w:rPr>
          <w:rFonts w:hint="eastAsia" w:ascii="仿宋" w:hAnsi="仿宋" w:eastAsia="仿宋" w:cs="仿宋"/>
          <w:color w:val="auto"/>
          <w:kern w:val="0"/>
          <w:sz w:val="32"/>
          <w:szCs w:val="32"/>
          <w:lang w:val="en-US" w:eastAsia="zh-CN"/>
        </w:rPr>
        <w:t>0</w:t>
      </w:r>
      <w:r>
        <w:rPr>
          <w:rFonts w:hint="eastAsia" w:ascii="仿宋" w:hAnsi="仿宋" w:eastAsia="仿宋" w:cs="仿宋"/>
          <w:color w:val="auto"/>
          <w:kern w:val="0"/>
          <w:sz w:val="32"/>
          <w:szCs w:val="32"/>
        </w:rPr>
        <w:t>%，比2024年预算增加</w:t>
      </w:r>
      <w:r>
        <w:rPr>
          <w:rFonts w:hint="eastAsia" w:ascii="仿宋" w:hAnsi="仿宋" w:eastAsia="仿宋" w:cs="仿宋"/>
          <w:color w:val="auto"/>
          <w:kern w:val="0"/>
          <w:sz w:val="32"/>
          <w:szCs w:val="32"/>
          <w:lang w:val="en-US" w:eastAsia="zh-CN"/>
        </w:rPr>
        <w:t>0</w:t>
      </w:r>
      <w:r>
        <w:rPr>
          <w:rFonts w:hint="eastAsia" w:ascii="仿宋" w:hAnsi="仿宋" w:eastAsia="仿宋" w:cs="仿宋"/>
          <w:color w:val="auto"/>
          <w:kern w:val="0"/>
          <w:sz w:val="32"/>
          <w:szCs w:val="32"/>
        </w:rPr>
        <w:t>万元，增长</w:t>
      </w:r>
      <w:r>
        <w:rPr>
          <w:rFonts w:hint="eastAsia" w:ascii="仿宋" w:hAnsi="仿宋" w:eastAsia="仿宋" w:cs="仿宋"/>
          <w:color w:val="auto"/>
          <w:kern w:val="0"/>
          <w:sz w:val="32"/>
          <w:szCs w:val="32"/>
          <w:lang w:val="en-US" w:eastAsia="zh-CN"/>
        </w:rPr>
        <w:t>0</w:t>
      </w:r>
      <w:r>
        <w:rPr>
          <w:rFonts w:hint="eastAsia" w:ascii="仿宋" w:hAnsi="仿宋" w:eastAsia="仿宋" w:cs="仿宋"/>
          <w:color w:val="auto"/>
          <w:kern w:val="0"/>
          <w:sz w:val="32"/>
          <w:szCs w:val="32"/>
        </w:rPr>
        <w:t>%，原因主要是</w:t>
      </w:r>
      <w:r>
        <w:rPr>
          <w:rFonts w:hint="eastAsia" w:ascii="仿宋" w:hAnsi="仿宋" w:eastAsia="仿宋" w:cs="仿宋"/>
          <w:color w:val="auto"/>
          <w:kern w:val="0"/>
          <w:sz w:val="32"/>
          <w:szCs w:val="32"/>
          <w:lang w:val="en-US" w:eastAsia="zh-CN"/>
        </w:rPr>
        <w:t>本单位无</w:t>
      </w:r>
      <w:r>
        <w:rPr>
          <w:rFonts w:hint="eastAsia" w:ascii="仿宋" w:hAnsi="仿宋" w:eastAsia="仿宋" w:cs="仿宋"/>
          <w:color w:val="auto"/>
          <w:kern w:val="0"/>
          <w:sz w:val="32"/>
          <w:szCs w:val="32"/>
        </w:rPr>
        <w:t>财政专户管理资金收入。</w:t>
      </w:r>
    </w:p>
    <w:p w14:paraId="0708A629">
      <w:pPr>
        <w:pStyle w:val="4"/>
        <w:adjustRightInd w:val="0"/>
        <w:snapToGrid w:val="0"/>
        <w:spacing w:line="560" w:lineRule="exact"/>
        <w:ind w:firstLine="627" w:firstLineChars="196"/>
        <w:rPr>
          <w:rFonts w:ascii="TimesNewRoman" w:hAnsi="TimesNewRoman" w:eastAsia="黑体" w:cs="TimesNewRoman"/>
          <w:bCs/>
          <w:color w:val="auto"/>
          <w:sz w:val="32"/>
          <w:szCs w:val="32"/>
        </w:rPr>
      </w:pPr>
      <w:r>
        <w:rPr>
          <w:rFonts w:hint="eastAsia" w:ascii="TimesNewRoman" w:hAnsi="TimesNewRoman" w:eastAsia="黑体" w:cs="TimesNewRoman"/>
          <w:bCs/>
          <w:color w:val="auto"/>
          <w:sz w:val="32"/>
          <w:szCs w:val="32"/>
        </w:rPr>
        <w:t>三、关</w:t>
      </w:r>
      <w:r>
        <w:rPr>
          <w:rFonts w:hint="eastAsia" w:ascii="黑体" w:hAnsi="黑体" w:eastAsia="黑体" w:cs="黑体"/>
          <w:bCs/>
          <w:color w:val="auto"/>
          <w:sz w:val="32"/>
          <w:szCs w:val="32"/>
        </w:rPr>
        <w:t>于2025年支出</w:t>
      </w:r>
      <w:r>
        <w:rPr>
          <w:rFonts w:hint="eastAsia" w:ascii="TimesNewRoman" w:hAnsi="TimesNewRoman" w:eastAsia="黑体" w:cs="TimesNewRoman"/>
          <w:bCs/>
          <w:color w:val="auto"/>
          <w:sz w:val="32"/>
          <w:szCs w:val="32"/>
        </w:rPr>
        <w:t>总表的说明</w:t>
      </w:r>
    </w:p>
    <w:p w14:paraId="0FA02F93">
      <w:pPr>
        <w:ind w:firstLine="640" w:firstLineChars="200"/>
        <w:rPr>
          <w:rFonts w:hint="eastAsia" w:ascii="仿宋" w:hAnsi="仿宋" w:eastAsia="仿宋" w:cs="仿宋"/>
          <w:color w:val="auto"/>
          <w:kern w:val="0"/>
          <w:sz w:val="32"/>
          <w:szCs w:val="32"/>
        </w:rPr>
      </w:pPr>
      <w:r>
        <w:rPr>
          <w:rFonts w:hint="eastAsia" w:ascii="仿宋" w:hAnsi="仿宋" w:eastAsia="仿宋" w:cs="仿宋"/>
          <w:color w:val="auto"/>
          <w:kern w:val="0"/>
          <w:sz w:val="32"/>
          <w:szCs w:val="32"/>
          <w:lang w:eastAsia="zh-CN"/>
        </w:rPr>
        <w:t>淮北市疾病预防控制中心</w:t>
      </w:r>
      <w:r>
        <w:rPr>
          <w:rFonts w:hint="eastAsia" w:ascii="仿宋" w:hAnsi="仿宋" w:eastAsia="仿宋" w:cs="仿宋"/>
          <w:color w:val="auto"/>
          <w:kern w:val="0"/>
          <w:sz w:val="32"/>
          <w:szCs w:val="32"/>
        </w:rPr>
        <w:t>2025年支出预算2349.94万元，比2024年预算减少</w:t>
      </w:r>
      <w:r>
        <w:rPr>
          <w:rFonts w:hint="eastAsia" w:ascii="仿宋_GB2312" w:eastAsia="仿宋_GB2312"/>
          <w:color w:val="auto"/>
          <w:sz w:val="32"/>
          <w:szCs w:val="32"/>
        </w:rPr>
        <w:t>146.67</w:t>
      </w:r>
      <w:r>
        <w:rPr>
          <w:rFonts w:hint="eastAsia" w:ascii="仿宋" w:hAnsi="仿宋" w:eastAsia="仿宋" w:cs="仿宋"/>
          <w:color w:val="auto"/>
          <w:kern w:val="0"/>
          <w:sz w:val="32"/>
          <w:szCs w:val="32"/>
        </w:rPr>
        <w:t>万元，下降</w:t>
      </w:r>
      <w:r>
        <w:rPr>
          <w:rFonts w:hint="eastAsia" w:ascii="仿宋" w:hAnsi="仿宋" w:eastAsia="仿宋" w:cs="仿宋"/>
          <w:color w:val="auto"/>
          <w:kern w:val="0"/>
          <w:sz w:val="32"/>
          <w:szCs w:val="32"/>
          <w:lang w:val="en-US" w:eastAsia="zh-CN"/>
        </w:rPr>
        <w:t>5.87</w:t>
      </w:r>
      <w:r>
        <w:rPr>
          <w:rFonts w:hint="eastAsia" w:ascii="仿宋" w:hAnsi="仿宋" w:eastAsia="仿宋" w:cs="仿宋"/>
          <w:color w:val="auto"/>
          <w:kern w:val="0"/>
          <w:sz w:val="32"/>
          <w:szCs w:val="32"/>
        </w:rPr>
        <w:t>%，原因主要是</w:t>
      </w:r>
      <w:r>
        <w:rPr>
          <w:rFonts w:hint="eastAsia" w:ascii="仿宋" w:hAnsi="仿宋" w:eastAsia="仿宋" w:cs="仿宋"/>
          <w:color w:val="auto"/>
          <w:kern w:val="0"/>
          <w:sz w:val="32"/>
          <w:szCs w:val="32"/>
          <w:lang w:val="en-US" w:eastAsia="zh-CN"/>
        </w:rPr>
        <w:t>1、在职人员减少、退休人员增加，故基本支出减少；2、非税收入减少</w:t>
      </w:r>
      <w:r>
        <w:rPr>
          <w:rFonts w:hint="eastAsia" w:ascii="仿宋" w:hAnsi="仿宋" w:eastAsia="仿宋" w:cs="仿宋"/>
          <w:color w:val="auto"/>
          <w:kern w:val="0"/>
          <w:sz w:val="32"/>
          <w:szCs w:val="32"/>
        </w:rPr>
        <w:t>。其中，基本支出1931.54万元，占82.2</w:t>
      </w:r>
      <w:r>
        <w:rPr>
          <w:rFonts w:hint="eastAsia" w:ascii="仿宋" w:hAnsi="仿宋" w:eastAsia="仿宋" w:cs="仿宋"/>
          <w:color w:val="auto"/>
          <w:kern w:val="0"/>
          <w:sz w:val="32"/>
          <w:szCs w:val="32"/>
          <w:lang w:val="en-US" w:eastAsia="zh-CN"/>
        </w:rPr>
        <w:t>0</w:t>
      </w:r>
      <w:r>
        <w:rPr>
          <w:rFonts w:hint="eastAsia" w:ascii="仿宋" w:hAnsi="仿宋" w:eastAsia="仿宋" w:cs="仿宋"/>
          <w:color w:val="auto"/>
          <w:kern w:val="0"/>
          <w:sz w:val="32"/>
          <w:szCs w:val="32"/>
        </w:rPr>
        <w:t>%，主要用于保障机构日常运转、完成日常工作任务；项目支出418.4万元，占17.8%，主要用于保障公共卫生服务</w:t>
      </w:r>
      <w:r>
        <w:rPr>
          <w:rFonts w:hint="eastAsia" w:ascii="仿宋" w:hAnsi="仿宋" w:eastAsia="仿宋" w:cs="仿宋"/>
          <w:color w:val="auto"/>
          <w:kern w:val="0"/>
          <w:sz w:val="32"/>
          <w:szCs w:val="32"/>
          <w:lang w:eastAsia="zh-CN"/>
        </w:rPr>
        <w:t>、</w:t>
      </w:r>
      <w:r>
        <w:rPr>
          <w:rFonts w:hint="eastAsia" w:ascii="仿宋" w:hAnsi="仿宋" w:eastAsia="仿宋" w:cs="仿宋"/>
          <w:color w:val="auto"/>
          <w:kern w:val="0"/>
          <w:sz w:val="32"/>
          <w:szCs w:val="32"/>
        </w:rPr>
        <w:t>疾病预防控制</w:t>
      </w:r>
      <w:r>
        <w:rPr>
          <w:rFonts w:hint="eastAsia" w:ascii="仿宋" w:hAnsi="仿宋" w:eastAsia="仿宋" w:cs="仿宋"/>
          <w:color w:val="auto"/>
          <w:kern w:val="0"/>
          <w:sz w:val="32"/>
          <w:szCs w:val="32"/>
          <w:lang w:val="en-US" w:eastAsia="zh-CN"/>
        </w:rPr>
        <w:t>和市疾控中心大楼搬迁</w:t>
      </w:r>
      <w:r>
        <w:rPr>
          <w:rFonts w:hint="eastAsia" w:ascii="仿宋" w:hAnsi="仿宋" w:eastAsia="仿宋" w:cs="仿宋"/>
          <w:color w:val="auto"/>
          <w:kern w:val="0"/>
          <w:sz w:val="32"/>
          <w:szCs w:val="32"/>
        </w:rPr>
        <w:t>等专项支出。</w:t>
      </w:r>
    </w:p>
    <w:p w14:paraId="0835D8B5">
      <w:pPr>
        <w:pStyle w:val="4"/>
        <w:adjustRightInd w:val="0"/>
        <w:snapToGrid w:val="0"/>
        <w:spacing w:line="560" w:lineRule="exact"/>
        <w:ind w:firstLine="627" w:firstLineChars="196"/>
        <w:rPr>
          <w:rFonts w:hint="eastAsia" w:ascii="黑体" w:hAnsi="黑体" w:eastAsia="黑体" w:cs="黑体"/>
          <w:bCs/>
          <w:color w:val="auto"/>
          <w:sz w:val="32"/>
          <w:szCs w:val="32"/>
        </w:rPr>
      </w:pPr>
      <w:r>
        <w:rPr>
          <w:rFonts w:hint="eastAsia" w:ascii="黑体" w:hAnsi="黑体" w:eastAsia="黑体" w:cs="黑体"/>
          <w:bCs/>
          <w:color w:val="auto"/>
          <w:sz w:val="32"/>
          <w:szCs w:val="32"/>
        </w:rPr>
        <w:t>四、关于2025年财政拨款收支总表的说明</w:t>
      </w:r>
    </w:p>
    <w:p w14:paraId="6DD802D0">
      <w:pPr>
        <w:ind w:firstLine="640" w:firstLineChars="200"/>
        <w:rPr>
          <w:rFonts w:hint="eastAsia" w:ascii="仿宋" w:hAnsi="仿宋" w:eastAsia="仿宋" w:cs="仿宋"/>
          <w:color w:val="auto"/>
          <w:kern w:val="0"/>
          <w:sz w:val="32"/>
          <w:szCs w:val="32"/>
        </w:rPr>
      </w:pPr>
      <w:r>
        <w:rPr>
          <w:rFonts w:hint="eastAsia" w:ascii="仿宋" w:hAnsi="仿宋" w:eastAsia="仿宋" w:cs="仿宋"/>
          <w:color w:val="auto"/>
          <w:kern w:val="0"/>
          <w:sz w:val="32"/>
          <w:szCs w:val="32"/>
          <w:lang w:eastAsia="zh-CN"/>
        </w:rPr>
        <w:t>淮北市疾病预防控制中心</w:t>
      </w:r>
      <w:r>
        <w:rPr>
          <w:rFonts w:hint="eastAsia" w:ascii="仿宋" w:hAnsi="仿宋" w:eastAsia="仿宋" w:cs="仿宋"/>
          <w:color w:val="auto"/>
          <w:kern w:val="0"/>
          <w:sz w:val="32"/>
          <w:szCs w:val="32"/>
        </w:rPr>
        <w:t>2025年财政拨款收支预算2349.94万元。收入按资金来源分为：一般公共预算拨款2349.94万元、政府性基金预算拨款</w:t>
      </w:r>
      <w:r>
        <w:rPr>
          <w:rFonts w:hint="eastAsia" w:ascii="仿宋" w:hAnsi="仿宋" w:eastAsia="仿宋" w:cs="仿宋"/>
          <w:color w:val="auto"/>
          <w:kern w:val="0"/>
          <w:sz w:val="32"/>
          <w:szCs w:val="32"/>
          <w:lang w:val="en-US" w:eastAsia="zh-CN"/>
        </w:rPr>
        <w:t>0</w:t>
      </w:r>
      <w:r>
        <w:rPr>
          <w:rFonts w:hint="eastAsia" w:ascii="仿宋" w:hAnsi="仿宋" w:eastAsia="仿宋" w:cs="仿宋"/>
          <w:color w:val="auto"/>
          <w:kern w:val="0"/>
          <w:sz w:val="32"/>
          <w:szCs w:val="32"/>
        </w:rPr>
        <w:t>万元；按资金年度分为：本年财政拨款收入2349.94万元。支出按功能分类分为：社会保障和就业支出444.38万元，占18.91%；卫生健康支出1658.83万元，占70.59%；住房保障支出246.72万元，占10.5%。</w:t>
      </w:r>
      <w:r>
        <w:rPr>
          <w:rFonts w:hint="eastAsia" w:ascii="仿宋" w:hAnsi="仿宋" w:eastAsia="仿宋" w:cs="仿宋"/>
          <w:color w:val="auto"/>
          <w:kern w:val="0"/>
          <w:sz w:val="32"/>
          <w:szCs w:val="32"/>
          <w:lang w:eastAsia="zh-CN"/>
        </w:rPr>
        <w:t>（“因四舍五入可能存在尾数误差”）</w:t>
      </w:r>
    </w:p>
    <w:p w14:paraId="57D911DB">
      <w:pPr>
        <w:pStyle w:val="4"/>
        <w:adjustRightInd w:val="0"/>
        <w:snapToGrid w:val="0"/>
        <w:spacing w:line="560" w:lineRule="exact"/>
        <w:ind w:firstLine="627" w:firstLineChars="196"/>
        <w:rPr>
          <w:rFonts w:ascii="TimesNewRoman" w:hAnsi="TimesNewRoman" w:eastAsia="黑体" w:cs="TimesNewRoman"/>
          <w:bCs/>
          <w:color w:val="auto"/>
          <w:sz w:val="32"/>
          <w:szCs w:val="32"/>
        </w:rPr>
      </w:pPr>
      <w:r>
        <w:rPr>
          <w:rFonts w:hint="eastAsia" w:ascii="TimesNewRoman" w:hAnsi="TimesNewRoman" w:eastAsia="黑体" w:cs="TimesNewRoman"/>
          <w:bCs/>
          <w:color w:val="auto"/>
          <w:sz w:val="32"/>
          <w:szCs w:val="32"/>
        </w:rPr>
        <w:t>五、</w:t>
      </w:r>
      <w:r>
        <w:rPr>
          <w:rFonts w:hint="eastAsia" w:ascii="黑体" w:hAnsi="黑体" w:eastAsia="黑体" w:cs="黑体"/>
          <w:bCs/>
          <w:color w:val="auto"/>
          <w:sz w:val="32"/>
          <w:szCs w:val="32"/>
        </w:rPr>
        <w:t>关于2025年一般公共预算支出</w:t>
      </w:r>
      <w:r>
        <w:rPr>
          <w:rFonts w:hint="eastAsia" w:ascii="TimesNewRoman" w:hAnsi="TimesNewRoman" w:eastAsia="黑体" w:cs="TimesNewRoman"/>
          <w:bCs/>
          <w:color w:val="auto"/>
          <w:sz w:val="32"/>
          <w:szCs w:val="32"/>
        </w:rPr>
        <w:t>表的说明</w:t>
      </w:r>
    </w:p>
    <w:p w14:paraId="09BC6E1E">
      <w:pPr>
        <w:pStyle w:val="4"/>
        <w:adjustRightInd w:val="0"/>
        <w:snapToGrid w:val="0"/>
        <w:spacing w:line="560" w:lineRule="exact"/>
        <w:ind w:firstLine="630" w:firstLineChars="196"/>
        <w:rPr>
          <w:rFonts w:ascii="TimesNewRoman" w:hAnsi="TimesNewRoman" w:eastAsia="楷体_GB2312" w:cs="TimesNewRoman"/>
          <w:b/>
          <w:color w:val="auto"/>
          <w:sz w:val="32"/>
          <w:szCs w:val="32"/>
        </w:rPr>
      </w:pPr>
      <w:r>
        <w:rPr>
          <w:rFonts w:hint="eastAsia" w:ascii="TimesNewRoman" w:hAnsi="TimesNewRoman" w:eastAsia="楷体_GB2312" w:cs="TimesNewRoman"/>
          <w:b/>
          <w:color w:val="auto"/>
          <w:sz w:val="32"/>
          <w:szCs w:val="32"/>
        </w:rPr>
        <w:t>（一）一般公共预算支出规模变化情况。</w:t>
      </w:r>
    </w:p>
    <w:p w14:paraId="27AAB4D2">
      <w:pPr>
        <w:ind w:firstLine="640" w:firstLineChars="200"/>
        <w:rPr>
          <w:rFonts w:hint="eastAsia" w:ascii="仿宋" w:hAnsi="仿宋" w:eastAsia="仿宋" w:cs="仿宋"/>
          <w:color w:val="auto"/>
          <w:kern w:val="0"/>
          <w:sz w:val="32"/>
          <w:szCs w:val="32"/>
        </w:rPr>
      </w:pPr>
      <w:r>
        <w:rPr>
          <w:rFonts w:hint="eastAsia" w:ascii="仿宋" w:hAnsi="仿宋" w:eastAsia="仿宋" w:cs="仿宋"/>
          <w:color w:val="auto"/>
          <w:kern w:val="0"/>
          <w:sz w:val="32"/>
          <w:szCs w:val="32"/>
          <w:lang w:eastAsia="zh-CN"/>
        </w:rPr>
        <w:t>淮北市疾病预防控制中心</w:t>
      </w:r>
      <w:r>
        <w:rPr>
          <w:rFonts w:hint="eastAsia" w:ascii="仿宋" w:hAnsi="仿宋" w:eastAsia="仿宋" w:cs="仿宋"/>
          <w:color w:val="auto"/>
          <w:kern w:val="0"/>
          <w:sz w:val="32"/>
          <w:szCs w:val="32"/>
        </w:rPr>
        <w:t>2025年一般公共预算支出2349.94万元，比2024年预算减少</w:t>
      </w:r>
      <w:r>
        <w:rPr>
          <w:rFonts w:hint="eastAsia" w:ascii="仿宋_GB2312" w:eastAsia="仿宋_GB2312"/>
          <w:color w:val="auto"/>
          <w:sz w:val="32"/>
          <w:szCs w:val="32"/>
        </w:rPr>
        <w:t>146.67</w:t>
      </w:r>
      <w:r>
        <w:rPr>
          <w:rFonts w:hint="eastAsia" w:ascii="仿宋" w:hAnsi="仿宋" w:eastAsia="仿宋" w:cs="仿宋"/>
          <w:color w:val="auto"/>
          <w:kern w:val="0"/>
          <w:sz w:val="32"/>
          <w:szCs w:val="32"/>
        </w:rPr>
        <w:t>万元，下降</w:t>
      </w:r>
      <w:r>
        <w:rPr>
          <w:rFonts w:hint="eastAsia" w:ascii="仿宋" w:hAnsi="仿宋" w:eastAsia="仿宋" w:cs="仿宋"/>
          <w:color w:val="auto"/>
          <w:kern w:val="0"/>
          <w:sz w:val="32"/>
          <w:szCs w:val="32"/>
          <w:lang w:val="en-US" w:eastAsia="zh-CN"/>
        </w:rPr>
        <w:t>5.87</w:t>
      </w:r>
      <w:r>
        <w:rPr>
          <w:rFonts w:hint="eastAsia" w:ascii="仿宋" w:hAnsi="仿宋" w:eastAsia="仿宋" w:cs="仿宋"/>
          <w:color w:val="auto"/>
          <w:kern w:val="0"/>
          <w:sz w:val="32"/>
          <w:szCs w:val="32"/>
        </w:rPr>
        <w:t>%，主要原因：</w:t>
      </w:r>
      <w:r>
        <w:rPr>
          <w:rFonts w:hint="eastAsia" w:ascii="仿宋" w:hAnsi="仿宋" w:eastAsia="仿宋" w:cs="仿宋"/>
          <w:color w:val="auto"/>
          <w:kern w:val="0"/>
          <w:sz w:val="32"/>
          <w:szCs w:val="32"/>
          <w:lang w:val="en-US" w:eastAsia="zh-CN"/>
        </w:rPr>
        <w:t>一是在职人员减少、退休人员增加，故基本支出减少；二是非税收入减少。</w:t>
      </w:r>
    </w:p>
    <w:p w14:paraId="21596588">
      <w:pPr>
        <w:pStyle w:val="4"/>
        <w:adjustRightInd w:val="0"/>
        <w:snapToGrid w:val="0"/>
        <w:spacing w:line="560" w:lineRule="exact"/>
        <w:ind w:firstLine="630" w:firstLineChars="196"/>
        <w:rPr>
          <w:rFonts w:ascii="TimesNewRoman" w:hAnsi="TimesNewRoman" w:eastAsia="楷体_GB2312" w:cs="TimesNewRoman"/>
          <w:b/>
          <w:color w:val="auto"/>
          <w:sz w:val="32"/>
          <w:szCs w:val="32"/>
        </w:rPr>
      </w:pPr>
      <w:r>
        <w:rPr>
          <w:rFonts w:hint="eastAsia" w:ascii="TimesNewRoman" w:hAnsi="TimesNewRoman" w:eastAsia="楷体_GB2312" w:cs="TimesNewRoman"/>
          <w:b/>
          <w:color w:val="auto"/>
          <w:sz w:val="32"/>
          <w:szCs w:val="32"/>
        </w:rPr>
        <w:t>（二）一般公共预算支出结构情况。</w:t>
      </w:r>
    </w:p>
    <w:p w14:paraId="5A6F4AD4">
      <w:pPr>
        <w:ind w:firstLine="640" w:firstLineChars="200"/>
        <w:rPr>
          <w:rFonts w:hint="eastAsia" w:ascii="仿宋" w:hAnsi="仿宋" w:eastAsia="仿宋" w:cs="仿宋"/>
          <w:color w:val="auto"/>
          <w:kern w:val="0"/>
          <w:sz w:val="32"/>
          <w:szCs w:val="32"/>
          <w:lang w:eastAsia="zh-CN"/>
        </w:rPr>
      </w:pPr>
      <w:r>
        <w:rPr>
          <w:rFonts w:hint="eastAsia" w:ascii="仿宋" w:hAnsi="仿宋" w:eastAsia="仿宋" w:cs="仿宋"/>
          <w:color w:val="auto"/>
          <w:kern w:val="0"/>
          <w:sz w:val="32"/>
          <w:szCs w:val="32"/>
          <w:lang w:eastAsia="zh-CN"/>
        </w:rPr>
        <w:t>社会保障和就业支出</w:t>
      </w:r>
      <w:r>
        <w:rPr>
          <w:rFonts w:hint="eastAsia" w:ascii="仿宋" w:hAnsi="仿宋" w:eastAsia="仿宋" w:cs="仿宋"/>
          <w:color w:val="auto"/>
          <w:kern w:val="0"/>
          <w:sz w:val="32"/>
          <w:szCs w:val="32"/>
        </w:rPr>
        <w:t>444.38</w:t>
      </w:r>
      <w:r>
        <w:rPr>
          <w:rFonts w:hint="eastAsia" w:ascii="仿宋" w:hAnsi="仿宋" w:eastAsia="仿宋" w:cs="仿宋"/>
          <w:color w:val="auto"/>
          <w:kern w:val="0"/>
          <w:sz w:val="32"/>
          <w:szCs w:val="32"/>
          <w:lang w:eastAsia="zh-CN"/>
        </w:rPr>
        <w:t>万元，占</w:t>
      </w:r>
      <w:r>
        <w:rPr>
          <w:rFonts w:hint="eastAsia" w:ascii="仿宋" w:hAnsi="仿宋" w:eastAsia="仿宋" w:cs="仿宋"/>
          <w:color w:val="auto"/>
          <w:kern w:val="0"/>
          <w:sz w:val="32"/>
          <w:szCs w:val="32"/>
        </w:rPr>
        <w:t>18.91</w:t>
      </w:r>
      <w:r>
        <w:rPr>
          <w:rFonts w:hint="eastAsia" w:ascii="仿宋" w:hAnsi="仿宋" w:eastAsia="仿宋" w:cs="仿宋"/>
          <w:color w:val="auto"/>
          <w:kern w:val="0"/>
          <w:sz w:val="32"/>
          <w:szCs w:val="32"/>
          <w:lang w:eastAsia="zh-CN"/>
        </w:rPr>
        <w:t>%；卫生健康支出</w:t>
      </w:r>
      <w:r>
        <w:rPr>
          <w:rFonts w:hint="eastAsia" w:ascii="仿宋" w:hAnsi="仿宋" w:eastAsia="仿宋" w:cs="仿宋"/>
          <w:color w:val="auto"/>
          <w:kern w:val="0"/>
          <w:sz w:val="32"/>
          <w:szCs w:val="32"/>
        </w:rPr>
        <w:t>1658.83</w:t>
      </w:r>
      <w:r>
        <w:rPr>
          <w:rFonts w:hint="eastAsia" w:ascii="仿宋" w:hAnsi="仿宋" w:eastAsia="仿宋" w:cs="仿宋"/>
          <w:color w:val="auto"/>
          <w:kern w:val="0"/>
          <w:sz w:val="32"/>
          <w:szCs w:val="32"/>
          <w:lang w:eastAsia="zh-CN"/>
        </w:rPr>
        <w:t>万元，占</w:t>
      </w:r>
      <w:r>
        <w:rPr>
          <w:rFonts w:hint="eastAsia" w:ascii="仿宋" w:hAnsi="仿宋" w:eastAsia="仿宋" w:cs="仿宋"/>
          <w:color w:val="auto"/>
          <w:kern w:val="0"/>
          <w:sz w:val="32"/>
          <w:szCs w:val="32"/>
        </w:rPr>
        <w:t>70.59</w:t>
      </w:r>
      <w:r>
        <w:rPr>
          <w:rFonts w:hint="eastAsia" w:ascii="仿宋" w:hAnsi="仿宋" w:eastAsia="仿宋" w:cs="仿宋"/>
          <w:color w:val="auto"/>
          <w:kern w:val="0"/>
          <w:sz w:val="32"/>
          <w:szCs w:val="32"/>
          <w:lang w:eastAsia="zh-CN"/>
        </w:rPr>
        <w:t>%；住房保障支出</w:t>
      </w:r>
      <w:r>
        <w:rPr>
          <w:rFonts w:hint="eastAsia" w:ascii="仿宋" w:hAnsi="仿宋" w:eastAsia="仿宋" w:cs="仿宋"/>
          <w:color w:val="auto"/>
          <w:kern w:val="0"/>
          <w:sz w:val="32"/>
          <w:szCs w:val="32"/>
        </w:rPr>
        <w:t>246.72</w:t>
      </w:r>
      <w:r>
        <w:rPr>
          <w:rFonts w:hint="eastAsia" w:ascii="仿宋" w:hAnsi="仿宋" w:eastAsia="仿宋" w:cs="仿宋"/>
          <w:color w:val="auto"/>
          <w:kern w:val="0"/>
          <w:sz w:val="32"/>
          <w:szCs w:val="32"/>
          <w:lang w:eastAsia="zh-CN"/>
        </w:rPr>
        <w:t>万元，占</w:t>
      </w:r>
      <w:r>
        <w:rPr>
          <w:rFonts w:hint="eastAsia" w:ascii="仿宋" w:hAnsi="仿宋" w:eastAsia="仿宋" w:cs="仿宋"/>
          <w:color w:val="auto"/>
          <w:kern w:val="0"/>
          <w:sz w:val="32"/>
          <w:szCs w:val="32"/>
        </w:rPr>
        <w:t>10.5</w:t>
      </w:r>
      <w:r>
        <w:rPr>
          <w:rFonts w:hint="eastAsia" w:ascii="仿宋" w:hAnsi="仿宋" w:eastAsia="仿宋" w:cs="仿宋"/>
          <w:color w:val="auto"/>
          <w:kern w:val="0"/>
          <w:sz w:val="32"/>
          <w:szCs w:val="32"/>
          <w:lang w:eastAsia="zh-CN"/>
        </w:rPr>
        <w:t>%。（“因四舍五入可能存在尾数误差”）</w:t>
      </w:r>
    </w:p>
    <w:p w14:paraId="40F9B303">
      <w:pPr>
        <w:pStyle w:val="4"/>
        <w:adjustRightInd w:val="0"/>
        <w:snapToGrid w:val="0"/>
        <w:spacing w:line="560" w:lineRule="exact"/>
        <w:ind w:firstLine="630" w:firstLineChars="196"/>
        <w:rPr>
          <w:rFonts w:ascii="TimesNewRoman" w:hAnsi="TimesNewRoman" w:eastAsia="楷体_GB2312" w:cs="TimesNewRoman"/>
          <w:b/>
          <w:color w:val="auto"/>
          <w:sz w:val="32"/>
          <w:szCs w:val="32"/>
        </w:rPr>
      </w:pPr>
      <w:r>
        <w:rPr>
          <w:rFonts w:hint="eastAsia" w:ascii="TimesNewRoman" w:hAnsi="TimesNewRoman" w:eastAsia="楷体_GB2312" w:cs="TimesNewRoman"/>
          <w:b/>
          <w:color w:val="auto"/>
          <w:sz w:val="32"/>
          <w:szCs w:val="32"/>
        </w:rPr>
        <w:t>（三）一般公共预算支出具体使用情况。</w:t>
      </w:r>
    </w:p>
    <w:p w14:paraId="05F634C0">
      <w:pPr>
        <w:ind w:firstLine="640" w:firstLineChars="200"/>
        <w:rPr>
          <w:rFonts w:hint="eastAsia" w:ascii="仿宋" w:hAnsi="仿宋" w:eastAsia="仿宋" w:cs="仿宋"/>
          <w:color w:val="auto"/>
          <w:kern w:val="0"/>
          <w:sz w:val="32"/>
          <w:szCs w:val="32"/>
        </w:rPr>
      </w:pPr>
      <w:r>
        <w:rPr>
          <w:rFonts w:hint="eastAsia" w:ascii="仿宋" w:hAnsi="仿宋" w:eastAsia="仿宋" w:cs="仿宋"/>
          <w:color w:val="auto"/>
          <w:kern w:val="0"/>
          <w:sz w:val="32"/>
          <w:szCs w:val="32"/>
        </w:rPr>
        <w:t>1、社会保障和就业支出（类）行政事业单位养老支出（款）事业单位离退休（项）202</w:t>
      </w:r>
      <w:r>
        <w:rPr>
          <w:rFonts w:hint="eastAsia" w:ascii="仿宋" w:hAnsi="仿宋" w:eastAsia="仿宋" w:cs="仿宋"/>
          <w:color w:val="auto"/>
          <w:kern w:val="0"/>
          <w:sz w:val="32"/>
          <w:szCs w:val="32"/>
          <w:lang w:val="en-US" w:eastAsia="zh-CN"/>
        </w:rPr>
        <w:t>5</w:t>
      </w:r>
      <w:r>
        <w:rPr>
          <w:rFonts w:hint="eastAsia" w:ascii="仿宋" w:hAnsi="仿宋" w:eastAsia="仿宋" w:cs="仿宋"/>
          <w:color w:val="auto"/>
          <w:kern w:val="0"/>
          <w:sz w:val="32"/>
          <w:szCs w:val="32"/>
        </w:rPr>
        <w:t>年预算198.59万元，比202</w:t>
      </w:r>
      <w:r>
        <w:rPr>
          <w:rFonts w:hint="eastAsia" w:ascii="仿宋" w:hAnsi="仿宋" w:eastAsia="仿宋" w:cs="仿宋"/>
          <w:color w:val="auto"/>
          <w:kern w:val="0"/>
          <w:sz w:val="32"/>
          <w:szCs w:val="32"/>
          <w:lang w:val="en-US" w:eastAsia="zh-CN"/>
        </w:rPr>
        <w:t>4</w:t>
      </w:r>
      <w:r>
        <w:rPr>
          <w:rFonts w:hint="eastAsia" w:ascii="仿宋" w:hAnsi="仿宋" w:eastAsia="仿宋" w:cs="仿宋"/>
          <w:color w:val="auto"/>
          <w:kern w:val="0"/>
          <w:sz w:val="32"/>
          <w:szCs w:val="32"/>
        </w:rPr>
        <w:t>年预算</w:t>
      </w:r>
      <w:r>
        <w:rPr>
          <w:rFonts w:hint="eastAsia" w:ascii="仿宋" w:hAnsi="仿宋" w:eastAsia="仿宋" w:cs="仿宋"/>
          <w:color w:val="auto"/>
          <w:kern w:val="0"/>
          <w:sz w:val="32"/>
          <w:szCs w:val="32"/>
          <w:lang w:val="en-US" w:eastAsia="zh-CN"/>
        </w:rPr>
        <w:t>增加</w:t>
      </w:r>
      <w:r>
        <w:rPr>
          <w:rFonts w:hint="eastAsia" w:ascii="仿宋" w:hAnsi="仿宋" w:eastAsia="仿宋" w:cs="仿宋"/>
          <w:color w:val="auto"/>
          <w:kern w:val="0"/>
          <w:sz w:val="32"/>
          <w:szCs w:val="32"/>
        </w:rPr>
        <w:t>14.19万元，</w:t>
      </w:r>
      <w:r>
        <w:rPr>
          <w:rFonts w:hint="eastAsia" w:ascii="仿宋" w:hAnsi="仿宋" w:eastAsia="仿宋" w:cs="仿宋"/>
          <w:color w:val="auto"/>
          <w:kern w:val="0"/>
          <w:sz w:val="32"/>
          <w:szCs w:val="32"/>
          <w:lang w:val="en-US" w:eastAsia="zh-CN"/>
        </w:rPr>
        <w:t>增长7.70</w:t>
      </w:r>
      <w:r>
        <w:rPr>
          <w:rFonts w:hint="eastAsia" w:ascii="仿宋" w:hAnsi="仿宋" w:eastAsia="仿宋" w:cs="仿宋"/>
          <w:color w:val="auto"/>
          <w:kern w:val="0"/>
          <w:sz w:val="32"/>
          <w:szCs w:val="32"/>
        </w:rPr>
        <w:t>%，原因主要是</w:t>
      </w:r>
      <w:r>
        <w:rPr>
          <w:rFonts w:hint="eastAsia" w:ascii="仿宋" w:hAnsi="仿宋" w:eastAsia="仿宋" w:cs="仿宋"/>
          <w:color w:val="auto"/>
          <w:kern w:val="0"/>
          <w:sz w:val="32"/>
          <w:szCs w:val="32"/>
          <w:lang w:val="en-US" w:eastAsia="zh-CN"/>
        </w:rPr>
        <w:t>退休人员增加</w:t>
      </w:r>
      <w:r>
        <w:rPr>
          <w:rFonts w:hint="eastAsia" w:ascii="仿宋" w:hAnsi="仿宋" w:eastAsia="仿宋" w:cs="仿宋"/>
          <w:color w:val="auto"/>
          <w:kern w:val="0"/>
          <w:sz w:val="32"/>
          <w:szCs w:val="32"/>
        </w:rPr>
        <w:t>。</w:t>
      </w:r>
    </w:p>
    <w:p w14:paraId="10CF77B5">
      <w:pPr>
        <w:ind w:firstLine="640" w:firstLineChars="200"/>
        <w:rPr>
          <w:rFonts w:hint="eastAsia" w:ascii="仿宋" w:hAnsi="仿宋" w:eastAsia="仿宋" w:cs="仿宋"/>
          <w:color w:val="auto"/>
          <w:kern w:val="0"/>
          <w:sz w:val="32"/>
          <w:szCs w:val="32"/>
        </w:rPr>
      </w:pPr>
      <w:r>
        <w:rPr>
          <w:rFonts w:hint="eastAsia" w:ascii="仿宋" w:hAnsi="仿宋" w:eastAsia="仿宋" w:cs="仿宋"/>
          <w:color w:val="auto"/>
          <w:kern w:val="0"/>
          <w:sz w:val="32"/>
          <w:szCs w:val="32"/>
        </w:rPr>
        <w:t>2、社会保障和就业支出（类）行政事业单位养老支出（款）机关事业单位基本养老保险缴费支出（项）202</w:t>
      </w:r>
      <w:r>
        <w:rPr>
          <w:rFonts w:hint="eastAsia" w:ascii="仿宋" w:hAnsi="仿宋" w:eastAsia="仿宋" w:cs="仿宋"/>
          <w:color w:val="auto"/>
          <w:kern w:val="0"/>
          <w:sz w:val="32"/>
          <w:szCs w:val="32"/>
          <w:lang w:val="en-US" w:eastAsia="zh-CN"/>
        </w:rPr>
        <w:t>5</w:t>
      </w:r>
      <w:r>
        <w:rPr>
          <w:rFonts w:hint="eastAsia" w:ascii="仿宋" w:hAnsi="仿宋" w:eastAsia="仿宋" w:cs="仿宋"/>
          <w:color w:val="auto"/>
          <w:kern w:val="0"/>
          <w:sz w:val="32"/>
          <w:szCs w:val="32"/>
        </w:rPr>
        <w:t>年预算158.11万元，比202</w:t>
      </w:r>
      <w:r>
        <w:rPr>
          <w:rFonts w:hint="eastAsia" w:ascii="仿宋" w:hAnsi="仿宋" w:eastAsia="仿宋" w:cs="仿宋"/>
          <w:color w:val="auto"/>
          <w:kern w:val="0"/>
          <w:sz w:val="32"/>
          <w:szCs w:val="32"/>
          <w:lang w:val="en-US" w:eastAsia="zh-CN"/>
        </w:rPr>
        <w:t>4</w:t>
      </w:r>
      <w:r>
        <w:rPr>
          <w:rFonts w:hint="eastAsia" w:ascii="仿宋" w:hAnsi="仿宋" w:eastAsia="仿宋" w:cs="仿宋"/>
          <w:color w:val="auto"/>
          <w:kern w:val="0"/>
          <w:sz w:val="32"/>
          <w:szCs w:val="32"/>
        </w:rPr>
        <w:t>年预算减少6.48万元，下降3.94%，原因主要是在职人员减少，退休人员增加。</w:t>
      </w:r>
    </w:p>
    <w:p w14:paraId="07AA6C12">
      <w:pPr>
        <w:ind w:firstLine="640" w:firstLineChars="200"/>
        <w:rPr>
          <w:rFonts w:hint="eastAsia" w:ascii="仿宋" w:hAnsi="仿宋" w:eastAsia="仿宋" w:cs="仿宋"/>
          <w:color w:val="auto"/>
          <w:kern w:val="0"/>
          <w:sz w:val="32"/>
          <w:szCs w:val="32"/>
        </w:rPr>
      </w:pPr>
      <w:r>
        <w:rPr>
          <w:rFonts w:hint="eastAsia" w:ascii="仿宋" w:hAnsi="仿宋" w:eastAsia="仿宋" w:cs="仿宋"/>
          <w:color w:val="auto"/>
          <w:kern w:val="0"/>
          <w:sz w:val="32"/>
          <w:szCs w:val="32"/>
        </w:rPr>
        <w:t>3、社会保障和就业支出（类）行政事业单位养老支出（款）机关事业单位职业年金缴费支出（项）202</w:t>
      </w:r>
      <w:r>
        <w:rPr>
          <w:rFonts w:hint="eastAsia" w:ascii="仿宋" w:hAnsi="仿宋" w:eastAsia="仿宋" w:cs="仿宋"/>
          <w:color w:val="auto"/>
          <w:kern w:val="0"/>
          <w:sz w:val="32"/>
          <w:szCs w:val="32"/>
          <w:lang w:val="en-US" w:eastAsia="zh-CN"/>
        </w:rPr>
        <w:t>5</w:t>
      </w:r>
      <w:r>
        <w:rPr>
          <w:rFonts w:hint="eastAsia" w:ascii="仿宋" w:hAnsi="仿宋" w:eastAsia="仿宋" w:cs="仿宋"/>
          <w:color w:val="auto"/>
          <w:kern w:val="0"/>
          <w:sz w:val="32"/>
          <w:szCs w:val="32"/>
        </w:rPr>
        <w:t>年预算79.06万元，比202</w:t>
      </w:r>
      <w:r>
        <w:rPr>
          <w:rFonts w:hint="eastAsia" w:ascii="仿宋" w:hAnsi="仿宋" w:eastAsia="仿宋" w:cs="仿宋"/>
          <w:color w:val="auto"/>
          <w:kern w:val="0"/>
          <w:sz w:val="32"/>
          <w:szCs w:val="32"/>
          <w:lang w:val="en-US" w:eastAsia="zh-CN"/>
        </w:rPr>
        <w:t>4</w:t>
      </w:r>
      <w:r>
        <w:rPr>
          <w:rFonts w:hint="eastAsia" w:ascii="仿宋" w:hAnsi="仿宋" w:eastAsia="仿宋" w:cs="仿宋"/>
          <w:color w:val="auto"/>
          <w:kern w:val="0"/>
          <w:sz w:val="32"/>
          <w:szCs w:val="32"/>
        </w:rPr>
        <w:t>年预算减少3.23万元，下降3.93%，原因主要是在职人员减少，退休人员增加。</w:t>
      </w:r>
    </w:p>
    <w:p w14:paraId="323898D2">
      <w:pPr>
        <w:ind w:firstLine="640" w:firstLineChars="200"/>
        <w:rPr>
          <w:rFonts w:hint="eastAsia" w:ascii="仿宋" w:hAnsi="仿宋" w:eastAsia="仿宋" w:cs="仿宋"/>
          <w:color w:val="auto"/>
          <w:kern w:val="0"/>
          <w:sz w:val="32"/>
          <w:szCs w:val="32"/>
          <w:lang w:eastAsia="zh-CN"/>
        </w:rPr>
      </w:pPr>
      <w:r>
        <w:rPr>
          <w:rFonts w:hint="eastAsia" w:ascii="仿宋" w:hAnsi="仿宋" w:eastAsia="仿宋" w:cs="仿宋"/>
          <w:color w:val="auto"/>
          <w:kern w:val="0"/>
          <w:sz w:val="32"/>
          <w:szCs w:val="32"/>
        </w:rPr>
        <w:t>4、社会保障和就业支出（类）抚恤（款）伤残抚恤（项）202</w:t>
      </w:r>
      <w:r>
        <w:rPr>
          <w:rFonts w:hint="eastAsia" w:ascii="仿宋" w:hAnsi="仿宋" w:eastAsia="仿宋" w:cs="仿宋"/>
          <w:color w:val="auto"/>
          <w:kern w:val="0"/>
          <w:sz w:val="32"/>
          <w:szCs w:val="32"/>
          <w:lang w:val="en-US" w:eastAsia="zh-CN"/>
        </w:rPr>
        <w:t>5</w:t>
      </w:r>
      <w:r>
        <w:rPr>
          <w:rFonts w:hint="eastAsia" w:ascii="仿宋" w:hAnsi="仿宋" w:eastAsia="仿宋" w:cs="仿宋"/>
          <w:color w:val="auto"/>
          <w:kern w:val="0"/>
          <w:sz w:val="32"/>
          <w:szCs w:val="32"/>
        </w:rPr>
        <w:t>年预算3.56万元，比202</w:t>
      </w:r>
      <w:r>
        <w:rPr>
          <w:rFonts w:hint="eastAsia" w:ascii="仿宋" w:hAnsi="仿宋" w:eastAsia="仿宋" w:cs="仿宋"/>
          <w:color w:val="auto"/>
          <w:kern w:val="0"/>
          <w:sz w:val="32"/>
          <w:szCs w:val="32"/>
          <w:lang w:val="en-US" w:eastAsia="zh-CN"/>
        </w:rPr>
        <w:t>4</w:t>
      </w:r>
      <w:r>
        <w:rPr>
          <w:rFonts w:hint="eastAsia" w:ascii="仿宋" w:hAnsi="仿宋" w:eastAsia="仿宋" w:cs="仿宋"/>
          <w:color w:val="auto"/>
          <w:kern w:val="0"/>
          <w:sz w:val="32"/>
          <w:szCs w:val="32"/>
        </w:rPr>
        <w:t>年预算增加0.26万元，增长7.88%，原因主要是因公伤残职工</w:t>
      </w:r>
      <w:r>
        <w:rPr>
          <w:rFonts w:hint="eastAsia" w:ascii="仿宋" w:hAnsi="仿宋" w:eastAsia="仿宋" w:cs="仿宋"/>
          <w:color w:val="auto"/>
          <w:kern w:val="0"/>
          <w:sz w:val="32"/>
          <w:szCs w:val="32"/>
          <w:lang w:val="en-US" w:eastAsia="zh-CN"/>
        </w:rPr>
        <w:t>补助标准提高</w:t>
      </w:r>
      <w:r>
        <w:rPr>
          <w:rFonts w:hint="eastAsia" w:ascii="仿宋" w:hAnsi="仿宋" w:eastAsia="仿宋" w:cs="仿宋"/>
          <w:color w:val="auto"/>
          <w:kern w:val="0"/>
          <w:sz w:val="32"/>
          <w:szCs w:val="32"/>
        </w:rPr>
        <w:t>。</w:t>
      </w:r>
    </w:p>
    <w:p w14:paraId="390426C5">
      <w:pPr>
        <w:ind w:firstLine="640" w:firstLineChars="200"/>
        <w:rPr>
          <w:rFonts w:hint="eastAsia" w:ascii="仿宋" w:hAnsi="仿宋" w:eastAsia="仿宋" w:cs="仿宋"/>
          <w:color w:val="auto"/>
          <w:kern w:val="0"/>
          <w:sz w:val="32"/>
          <w:szCs w:val="32"/>
        </w:rPr>
      </w:pPr>
      <w:r>
        <w:rPr>
          <w:rFonts w:hint="eastAsia" w:ascii="仿宋" w:hAnsi="仿宋" w:eastAsia="仿宋" w:cs="仿宋"/>
          <w:color w:val="auto"/>
          <w:kern w:val="0"/>
          <w:sz w:val="32"/>
          <w:szCs w:val="32"/>
        </w:rPr>
        <w:t>5、社会保障和就业支出（类）其他社会保障和就业支出（款）其他社会保障和就业支出（项）202</w:t>
      </w:r>
      <w:r>
        <w:rPr>
          <w:rFonts w:hint="eastAsia" w:ascii="仿宋" w:hAnsi="仿宋" w:eastAsia="仿宋" w:cs="仿宋"/>
          <w:color w:val="auto"/>
          <w:kern w:val="0"/>
          <w:sz w:val="32"/>
          <w:szCs w:val="32"/>
          <w:lang w:val="en-US" w:eastAsia="zh-CN"/>
        </w:rPr>
        <w:t>5</w:t>
      </w:r>
      <w:r>
        <w:rPr>
          <w:rFonts w:hint="eastAsia" w:ascii="仿宋" w:hAnsi="仿宋" w:eastAsia="仿宋" w:cs="仿宋"/>
          <w:color w:val="auto"/>
          <w:kern w:val="0"/>
          <w:sz w:val="32"/>
          <w:szCs w:val="32"/>
        </w:rPr>
        <w:t>年预算5.07万元，比202</w:t>
      </w:r>
      <w:r>
        <w:rPr>
          <w:rFonts w:hint="eastAsia" w:ascii="仿宋" w:hAnsi="仿宋" w:eastAsia="仿宋" w:cs="仿宋"/>
          <w:color w:val="auto"/>
          <w:kern w:val="0"/>
          <w:sz w:val="32"/>
          <w:szCs w:val="32"/>
          <w:lang w:val="en-US" w:eastAsia="zh-CN"/>
        </w:rPr>
        <w:t>4</w:t>
      </w:r>
      <w:r>
        <w:rPr>
          <w:rFonts w:hint="eastAsia" w:ascii="仿宋" w:hAnsi="仿宋" w:eastAsia="仿宋" w:cs="仿宋"/>
          <w:color w:val="auto"/>
          <w:kern w:val="0"/>
          <w:sz w:val="32"/>
          <w:szCs w:val="32"/>
        </w:rPr>
        <w:t>年预算减少0.26万元，下降4.88%，原因主要是</w:t>
      </w:r>
      <w:r>
        <w:rPr>
          <w:rFonts w:hint="eastAsia" w:ascii="仿宋" w:hAnsi="仿宋" w:eastAsia="仿宋" w:cs="仿宋"/>
          <w:color w:val="auto"/>
          <w:kern w:val="0"/>
          <w:sz w:val="32"/>
          <w:szCs w:val="32"/>
          <w:lang w:val="en-US" w:eastAsia="zh-CN"/>
        </w:rPr>
        <w:t>在职人员减少及失业、工伤基数降低</w:t>
      </w:r>
      <w:r>
        <w:rPr>
          <w:rFonts w:hint="eastAsia" w:ascii="仿宋" w:hAnsi="仿宋" w:eastAsia="仿宋" w:cs="仿宋"/>
          <w:color w:val="auto"/>
          <w:kern w:val="0"/>
          <w:sz w:val="32"/>
          <w:szCs w:val="32"/>
        </w:rPr>
        <w:t>。</w:t>
      </w:r>
    </w:p>
    <w:p w14:paraId="53FE9E29">
      <w:pPr>
        <w:ind w:firstLine="640" w:firstLineChars="200"/>
        <w:rPr>
          <w:rFonts w:hint="eastAsia" w:ascii="仿宋" w:hAnsi="仿宋" w:eastAsia="仿宋" w:cs="仿宋"/>
          <w:color w:val="auto"/>
          <w:kern w:val="0"/>
          <w:sz w:val="32"/>
          <w:szCs w:val="32"/>
        </w:rPr>
      </w:pPr>
      <w:r>
        <w:rPr>
          <w:rFonts w:hint="eastAsia" w:ascii="仿宋" w:hAnsi="仿宋" w:eastAsia="仿宋" w:cs="仿宋"/>
          <w:color w:val="auto"/>
          <w:kern w:val="0"/>
          <w:sz w:val="32"/>
          <w:szCs w:val="32"/>
        </w:rPr>
        <w:t>6、卫生健康支出（类）公共卫生（款）疾病预防控制机构（项）202</w:t>
      </w:r>
      <w:r>
        <w:rPr>
          <w:rFonts w:hint="eastAsia" w:ascii="仿宋" w:hAnsi="仿宋" w:eastAsia="仿宋" w:cs="仿宋"/>
          <w:color w:val="auto"/>
          <w:kern w:val="0"/>
          <w:sz w:val="32"/>
          <w:szCs w:val="32"/>
          <w:lang w:val="en-US" w:eastAsia="zh-CN"/>
        </w:rPr>
        <w:t>5</w:t>
      </w:r>
      <w:r>
        <w:rPr>
          <w:rFonts w:hint="eastAsia" w:ascii="仿宋" w:hAnsi="仿宋" w:eastAsia="仿宋" w:cs="仿宋"/>
          <w:color w:val="auto"/>
          <w:kern w:val="0"/>
          <w:sz w:val="32"/>
          <w:szCs w:val="32"/>
        </w:rPr>
        <w:t>年预算1544.33万元，比202</w:t>
      </w:r>
      <w:r>
        <w:rPr>
          <w:rFonts w:hint="eastAsia" w:ascii="仿宋" w:hAnsi="仿宋" w:eastAsia="仿宋" w:cs="仿宋"/>
          <w:color w:val="auto"/>
          <w:kern w:val="0"/>
          <w:sz w:val="32"/>
          <w:szCs w:val="32"/>
          <w:lang w:val="en-US" w:eastAsia="zh-CN"/>
        </w:rPr>
        <w:t>4</w:t>
      </w:r>
      <w:r>
        <w:rPr>
          <w:rFonts w:hint="eastAsia" w:ascii="仿宋" w:hAnsi="仿宋" w:eastAsia="仿宋" w:cs="仿宋"/>
          <w:color w:val="auto"/>
          <w:kern w:val="0"/>
          <w:sz w:val="32"/>
          <w:szCs w:val="32"/>
        </w:rPr>
        <w:t>年预算减少122.51万元，下降7.35%，原因主要</w:t>
      </w:r>
      <w:r>
        <w:rPr>
          <w:rFonts w:hint="eastAsia" w:ascii="仿宋" w:hAnsi="仿宋" w:eastAsia="仿宋" w:cs="仿宋"/>
          <w:color w:val="auto"/>
          <w:kern w:val="0"/>
          <w:sz w:val="32"/>
          <w:szCs w:val="32"/>
          <w:lang w:val="en-US" w:eastAsia="zh-CN"/>
        </w:rPr>
        <w:t>一</w:t>
      </w:r>
      <w:r>
        <w:rPr>
          <w:rFonts w:hint="eastAsia" w:ascii="仿宋" w:hAnsi="仿宋" w:eastAsia="仿宋" w:cs="仿宋"/>
          <w:color w:val="auto"/>
          <w:kern w:val="0"/>
          <w:sz w:val="32"/>
          <w:szCs w:val="32"/>
        </w:rPr>
        <w:t>是在职人员减少，</w:t>
      </w:r>
      <w:r>
        <w:rPr>
          <w:rFonts w:hint="eastAsia" w:ascii="仿宋" w:hAnsi="仿宋" w:eastAsia="仿宋" w:cs="仿宋"/>
          <w:color w:val="auto"/>
          <w:kern w:val="0"/>
          <w:sz w:val="32"/>
          <w:szCs w:val="32"/>
          <w:lang w:val="en-US" w:eastAsia="zh-CN"/>
        </w:rPr>
        <w:t>导致</w:t>
      </w:r>
      <w:r>
        <w:rPr>
          <w:rFonts w:hint="eastAsia" w:ascii="仿宋" w:hAnsi="仿宋" w:eastAsia="仿宋" w:cs="仿宋"/>
          <w:color w:val="auto"/>
          <w:kern w:val="0"/>
          <w:sz w:val="32"/>
          <w:szCs w:val="32"/>
        </w:rPr>
        <w:t>基本支出减少</w:t>
      </w:r>
      <w:r>
        <w:rPr>
          <w:rFonts w:hint="eastAsia" w:ascii="仿宋" w:hAnsi="仿宋" w:eastAsia="仿宋" w:cs="仿宋"/>
          <w:color w:val="auto"/>
          <w:kern w:val="0"/>
          <w:sz w:val="32"/>
          <w:szCs w:val="32"/>
          <w:lang w:val="en-US" w:eastAsia="zh-CN"/>
        </w:rPr>
        <w:t>；二是非税收入减少</w:t>
      </w:r>
      <w:r>
        <w:rPr>
          <w:rFonts w:hint="eastAsia" w:ascii="仿宋" w:hAnsi="仿宋" w:eastAsia="仿宋" w:cs="仿宋"/>
          <w:color w:val="auto"/>
          <w:kern w:val="0"/>
          <w:sz w:val="32"/>
          <w:szCs w:val="32"/>
        </w:rPr>
        <w:t>。</w:t>
      </w:r>
    </w:p>
    <w:p w14:paraId="6F8E31E5">
      <w:pPr>
        <w:ind w:firstLine="640" w:firstLineChars="200"/>
        <w:rPr>
          <w:rFonts w:hint="eastAsia" w:ascii="仿宋" w:hAnsi="仿宋" w:eastAsia="仿宋" w:cs="仿宋"/>
          <w:color w:val="auto"/>
          <w:kern w:val="0"/>
          <w:sz w:val="32"/>
          <w:szCs w:val="32"/>
        </w:rPr>
      </w:pPr>
      <w:r>
        <w:rPr>
          <w:rFonts w:hint="eastAsia" w:ascii="仿宋" w:hAnsi="仿宋" w:eastAsia="仿宋" w:cs="仿宋"/>
          <w:color w:val="auto"/>
          <w:kern w:val="0"/>
          <w:sz w:val="32"/>
          <w:szCs w:val="32"/>
        </w:rPr>
        <w:t>7、卫生健康支出（类）公共卫生（款）重大公共卫生服务（项）202</w:t>
      </w:r>
      <w:r>
        <w:rPr>
          <w:rFonts w:hint="eastAsia" w:ascii="仿宋" w:hAnsi="仿宋" w:eastAsia="仿宋" w:cs="仿宋"/>
          <w:color w:val="auto"/>
          <w:kern w:val="0"/>
          <w:sz w:val="32"/>
          <w:szCs w:val="32"/>
          <w:lang w:val="en-US" w:eastAsia="zh-CN"/>
        </w:rPr>
        <w:t>5</w:t>
      </w:r>
      <w:r>
        <w:rPr>
          <w:rFonts w:hint="eastAsia" w:ascii="仿宋" w:hAnsi="仿宋" w:eastAsia="仿宋" w:cs="仿宋"/>
          <w:color w:val="auto"/>
          <w:kern w:val="0"/>
          <w:sz w:val="32"/>
          <w:szCs w:val="32"/>
        </w:rPr>
        <w:t>年预算30</w:t>
      </w:r>
      <w:r>
        <w:rPr>
          <w:rFonts w:hint="eastAsia" w:ascii="仿宋" w:hAnsi="仿宋" w:eastAsia="仿宋" w:cs="仿宋"/>
          <w:color w:val="auto"/>
          <w:kern w:val="0"/>
          <w:sz w:val="32"/>
          <w:szCs w:val="32"/>
          <w:lang w:val="en-US" w:eastAsia="zh-CN"/>
        </w:rPr>
        <w:t>.00</w:t>
      </w:r>
      <w:r>
        <w:rPr>
          <w:rFonts w:hint="eastAsia" w:ascii="仿宋" w:hAnsi="仿宋" w:eastAsia="仿宋" w:cs="仿宋"/>
          <w:color w:val="auto"/>
          <w:kern w:val="0"/>
          <w:sz w:val="32"/>
          <w:szCs w:val="32"/>
        </w:rPr>
        <w:t>万元，比202</w:t>
      </w:r>
      <w:r>
        <w:rPr>
          <w:rFonts w:hint="eastAsia" w:ascii="仿宋" w:hAnsi="仿宋" w:eastAsia="仿宋" w:cs="仿宋"/>
          <w:color w:val="auto"/>
          <w:kern w:val="0"/>
          <w:sz w:val="32"/>
          <w:szCs w:val="32"/>
          <w:lang w:val="en-US" w:eastAsia="zh-CN"/>
        </w:rPr>
        <w:t>4</w:t>
      </w:r>
      <w:r>
        <w:rPr>
          <w:rFonts w:hint="eastAsia" w:ascii="仿宋" w:hAnsi="仿宋" w:eastAsia="仿宋" w:cs="仿宋"/>
          <w:color w:val="auto"/>
          <w:kern w:val="0"/>
          <w:sz w:val="32"/>
          <w:szCs w:val="32"/>
        </w:rPr>
        <w:t>年预算增加0万元，增长0%，原因主要是安排的经常性项目“疾病预防控制类项目30万元”用于疾病预防控制专项支出。</w:t>
      </w:r>
    </w:p>
    <w:p w14:paraId="1CB87721">
      <w:pPr>
        <w:ind w:firstLine="640" w:firstLineChars="200"/>
        <w:rPr>
          <w:rFonts w:hint="eastAsia" w:ascii="仿宋" w:hAnsi="仿宋" w:eastAsia="仿宋" w:cs="仿宋"/>
          <w:color w:val="auto"/>
          <w:kern w:val="0"/>
          <w:sz w:val="32"/>
          <w:szCs w:val="32"/>
        </w:rPr>
      </w:pPr>
      <w:r>
        <w:rPr>
          <w:rFonts w:hint="eastAsia" w:ascii="仿宋" w:hAnsi="仿宋" w:eastAsia="仿宋" w:cs="仿宋"/>
          <w:color w:val="auto"/>
          <w:kern w:val="0"/>
          <w:sz w:val="32"/>
          <w:szCs w:val="32"/>
        </w:rPr>
        <w:t>8、卫生健康支出（类）行政事业单位医疗（款）事业单位医疗（项）202</w:t>
      </w:r>
      <w:r>
        <w:rPr>
          <w:rFonts w:hint="eastAsia" w:ascii="仿宋" w:hAnsi="仿宋" w:eastAsia="仿宋" w:cs="仿宋"/>
          <w:color w:val="auto"/>
          <w:kern w:val="0"/>
          <w:sz w:val="32"/>
          <w:szCs w:val="32"/>
          <w:lang w:val="en-US" w:eastAsia="zh-CN"/>
        </w:rPr>
        <w:t>5</w:t>
      </w:r>
      <w:r>
        <w:rPr>
          <w:rFonts w:hint="eastAsia" w:ascii="仿宋" w:hAnsi="仿宋" w:eastAsia="仿宋" w:cs="仿宋"/>
          <w:color w:val="auto"/>
          <w:kern w:val="0"/>
          <w:sz w:val="32"/>
          <w:szCs w:val="32"/>
        </w:rPr>
        <w:t>年预算52.15万元，比202</w:t>
      </w:r>
      <w:r>
        <w:rPr>
          <w:rFonts w:hint="eastAsia" w:ascii="仿宋" w:hAnsi="仿宋" w:eastAsia="仿宋" w:cs="仿宋"/>
          <w:color w:val="auto"/>
          <w:kern w:val="0"/>
          <w:sz w:val="32"/>
          <w:szCs w:val="32"/>
          <w:lang w:val="en-US" w:eastAsia="zh-CN"/>
        </w:rPr>
        <w:t>4</w:t>
      </w:r>
      <w:r>
        <w:rPr>
          <w:rFonts w:hint="eastAsia" w:ascii="仿宋" w:hAnsi="仿宋" w:eastAsia="仿宋" w:cs="仿宋"/>
          <w:color w:val="auto"/>
          <w:kern w:val="0"/>
          <w:sz w:val="32"/>
          <w:szCs w:val="32"/>
        </w:rPr>
        <w:t>年预算减少11.77万元，下降18.41%，原因主要是在职人员减少，退休人员增加。</w:t>
      </w:r>
    </w:p>
    <w:p w14:paraId="0E5A195F">
      <w:pPr>
        <w:ind w:firstLine="640" w:firstLineChars="200"/>
        <w:rPr>
          <w:rFonts w:hint="eastAsia" w:ascii="仿宋" w:hAnsi="仿宋" w:eastAsia="仿宋" w:cs="仿宋"/>
          <w:color w:val="auto"/>
          <w:kern w:val="0"/>
          <w:sz w:val="32"/>
          <w:szCs w:val="32"/>
        </w:rPr>
      </w:pPr>
      <w:r>
        <w:rPr>
          <w:rFonts w:hint="eastAsia" w:ascii="仿宋" w:hAnsi="仿宋" w:eastAsia="仿宋" w:cs="仿宋"/>
          <w:color w:val="auto"/>
          <w:kern w:val="0"/>
          <w:sz w:val="32"/>
          <w:szCs w:val="32"/>
        </w:rPr>
        <w:t>9、卫生健康支出（类）行政事业单位医疗（款）公务员医疗补助（项）202</w:t>
      </w:r>
      <w:r>
        <w:rPr>
          <w:rFonts w:hint="eastAsia" w:ascii="仿宋" w:hAnsi="仿宋" w:eastAsia="仿宋" w:cs="仿宋"/>
          <w:color w:val="auto"/>
          <w:kern w:val="0"/>
          <w:sz w:val="32"/>
          <w:szCs w:val="32"/>
          <w:lang w:val="en-US" w:eastAsia="zh-CN"/>
        </w:rPr>
        <w:t>5</w:t>
      </w:r>
      <w:r>
        <w:rPr>
          <w:rFonts w:hint="eastAsia" w:ascii="仿宋" w:hAnsi="仿宋" w:eastAsia="仿宋" w:cs="仿宋"/>
          <w:color w:val="auto"/>
          <w:kern w:val="0"/>
          <w:sz w:val="32"/>
          <w:szCs w:val="32"/>
        </w:rPr>
        <w:t>年预算32.35万元，比202</w:t>
      </w:r>
      <w:r>
        <w:rPr>
          <w:rFonts w:hint="eastAsia" w:ascii="仿宋" w:hAnsi="仿宋" w:eastAsia="仿宋" w:cs="仿宋"/>
          <w:color w:val="auto"/>
          <w:kern w:val="0"/>
          <w:sz w:val="32"/>
          <w:szCs w:val="32"/>
          <w:lang w:val="en-US" w:eastAsia="zh-CN"/>
        </w:rPr>
        <w:t>4</w:t>
      </w:r>
      <w:r>
        <w:rPr>
          <w:rFonts w:hint="eastAsia" w:ascii="仿宋" w:hAnsi="仿宋" w:eastAsia="仿宋" w:cs="仿宋"/>
          <w:color w:val="auto"/>
          <w:kern w:val="0"/>
          <w:sz w:val="32"/>
          <w:szCs w:val="32"/>
        </w:rPr>
        <w:t>年预算减少0.1</w:t>
      </w:r>
      <w:r>
        <w:rPr>
          <w:rFonts w:hint="eastAsia" w:ascii="仿宋" w:hAnsi="仿宋" w:eastAsia="仿宋" w:cs="仿宋"/>
          <w:color w:val="auto"/>
          <w:kern w:val="0"/>
          <w:sz w:val="32"/>
          <w:szCs w:val="32"/>
          <w:lang w:val="en-US" w:eastAsia="zh-CN"/>
        </w:rPr>
        <w:t>0</w:t>
      </w:r>
      <w:r>
        <w:rPr>
          <w:rFonts w:hint="eastAsia" w:ascii="仿宋" w:hAnsi="仿宋" w:eastAsia="仿宋" w:cs="仿宋"/>
          <w:color w:val="auto"/>
          <w:kern w:val="0"/>
          <w:sz w:val="32"/>
          <w:szCs w:val="32"/>
        </w:rPr>
        <w:t>万元，下降0.31%，原因主要是在职人员减少，退休人员增加。</w:t>
      </w:r>
    </w:p>
    <w:p w14:paraId="3F3C463D">
      <w:pPr>
        <w:ind w:firstLine="640" w:firstLineChars="200"/>
        <w:rPr>
          <w:rFonts w:hint="eastAsia" w:ascii="仿宋" w:hAnsi="仿宋" w:eastAsia="仿宋" w:cs="仿宋"/>
          <w:color w:val="auto"/>
          <w:kern w:val="0"/>
          <w:sz w:val="32"/>
          <w:szCs w:val="32"/>
        </w:rPr>
      </w:pPr>
      <w:r>
        <w:rPr>
          <w:rFonts w:hint="eastAsia" w:ascii="仿宋" w:hAnsi="仿宋" w:eastAsia="仿宋" w:cs="仿宋"/>
          <w:color w:val="auto"/>
          <w:kern w:val="0"/>
          <w:sz w:val="32"/>
          <w:szCs w:val="32"/>
        </w:rPr>
        <w:t>10、住房保障支出（类）住房改革支出（款）住房公积金（项）202</w:t>
      </w:r>
      <w:r>
        <w:rPr>
          <w:rFonts w:hint="eastAsia" w:ascii="仿宋" w:hAnsi="仿宋" w:eastAsia="仿宋" w:cs="仿宋"/>
          <w:color w:val="auto"/>
          <w:kern w:val="0"/>
          <w:sz w:val="32"/>
          <w:szCs w:val="32"/>
          <w:lang w:val="en-US" w:eastAsia="zh-CN"/>
        </w:rPr>
        <w:t>5</w:t>
      </w:r>
      <w:r>
        <w:rPr>
          <w:rFonts w:hint="eastAsia" w:ascii="仿宋" w:hAnsi="仿宋" w:eastAsia="仿宋" w:cs="仿宋"/>
          <w:color w:val="auto"/>
          <w:kern w:val="0"/>
          <w:sz w:val="32"/>
          <w:szCs w:val="32"/>
        </w:rPr>
        <w:t>年预算148.03万元，比202</w:t>
      </w:r>
      <w:r>
        <w:rPr>
          <w:rFonts w:hint="eastAsia" w:ascii="仿宋" w:hAnsi="仿宋" w:eastAsia="仿宋" w:cs="仿宋"/>
          <w:color w:val="auto"/>
          <w:kern w:val="0"/>
          <w:sz w:val="32"/>
          <w:szCs w:val="32"/>
          <w:lang w:val="en-US" w:eastAsia="zh-CN"/>
        </w:rPr>
        <w:t>4</w:t>
      </w:r>
      <w:r>
        <w:rPr>
          <w:rFonts w:hint="eastAsia" w:ascii="仿宋" w:hAnsi="仿宋" w:eastAsia="仿宋" w:cs="仿宋"/>
          <w:color w:val="auto"/>
          <w:kern w:val="0"/>
          <w:sz w:val="32"/>
          <w:szCs w:val="32"/>
        </w:rPr>
        <w:t>年预算</w:t>
      </w:r>
      <w:r>
        <w:rPr>
          <w:rFonts w:hint="eastAsia" w:ascii="仿宋" w:hAnsi="仿宋" w:eastAsia="仿宋" w:cs="仿宋"/>
          <w:color w:val="auto"/>
          <w:kern w:val="0"/>
          <w:sz w:val="32"/>
          <w:szCs w:val="32"/>
          <w:lang w:val="en-US" w:eastAsia="zh-CN"/>
        </w:rPr>
        <w:t>减少</w:t>
      </w:r>
      <w:r>
        <w:rPr>
          <w:rFonts w:hint="eastAsia" w:ascii="仿宋" w:hAnsi="仿宋" w:eastAsia="仿宋" w:cs="仿宋"/>
          <w:color w:val="auto"/>
          <w:kern w:val="0"/>
          <w:sz w:val="32"/>
          <w:szCs w:val="32"/>
        </w:rPr>
        <w:t>10.06万元，</w:t>
      </w:r>
      <w:r>
        <w:rPr>
          <w:rFonts w:hint="eastAsia" w:ascii="仿宋" w:hAnsi="仿宋" w:eastAsia="仿宋" w:cs="仿宋"/>
          <w:color w:val="auto"/>
          <w:kern w:val="0"/>
          <w:sz w:val="32"/>
          <w:szCs w:val="32"/>
          <w:lang w:val="en-US" w:eastAsia="zh-CN"/>
        </w:rPr>
        <w:t>下降</w:t>
      </w:r>
      <w:r>
        <w:rPr>
          <w:rFonts w:hint="eastAsia" w:ascii="仿宋" w:hAnsi="仿宋" w:eastAsia="仿宋" w:cs="仿宋"/>
          <w:color w:val="auto"/>
          <w:kern w:val="0"/>
          <w:sz w:val="32"/>
          <w:szCs w:val="32"/>
        </w:rPr>
        <w:t>6.36%，原因主要是在职人员减少</w:t>
      </w:r>
      <w:r>
        <w:rPr>
          <w:rFonts w:hint="eastAsia" w:ascii="仿宋" w:hAnsi="仿宋" w:eastAsia="仿宋" w:cs="仿宋"/>
          <w:color w:val="auto"/>
          <w:kern w:val="0"/>
          <w:sz w:val="32"/>
          <w:szCs w:val="32"/>
          <w:lang w:val="en-US" w:eastAsia="zh-CN"/>
        </w:rPr>
        <w:t>及住房公积金</w:t>
      </w:r>
      <w:r>
        <w:rPr>
          <w:rFonts w:hint="eastAsia" w:ascii="仿宋" w:hAnsi="仿宋" w:eastAsia="仿宋" w:cs="仿宋"/>
          <w:color w:val="auto"/>
          <w:kern w:val="0"/>
          <w:sz w:val="32"/>
          <w:szCs w:val="32"/>
        </w:rPr>
        <w:t>基数</w:t>
      </w:r>
      <w:r>
        <w:rPr>
          <w:rFonts w:hint="eastAsia" w:ascii="仿宋" w:hAnsi="仿宋" w:eastAsia="仿宋" w:cs="仿宋"/>
          <w:color w:val="auto"/>
          <w:kern w:val="0"/>
          <w:sz w:val="32"/>
          <w:szCs w:val="32"/>
          <w:lang w:val="en-US" w:eastAsia="zh-CN"/>
        </w:rPr>
        <w:t>降低</w:t>
      </w:r>
      <w:r>
        <w:rPr>
          <w:rFonts w:hint="eastAsia" w:ascii="仿宋" w:hAnsi="仿宋" w:eastAsia="仿宋" w:cs="仿宋"/>
          <w:color w:val="auto"/>
          <w:kern w:val="0"/>
          <w:sz w:val="32"/>
          <w:szCs w:val="32"/>
        </w:rPr>
        <w:t>。</w:t>
      </w:r>
    </w:p>
    <w:p w14:paraId="5CA93EAB">
      <w:pPr>
        <w:ind w:firstLine="640" w:firstLineChars="200"/>
        <w:rPr>
          <w:rFonts w:hint="eastAsia" w:ascii="仿宋" w:hAnsi="仿宋" w:eastAsia="仿宋" w:cs="仿宋"/>
          <w:color w:val="auto"/>
          <w:kern w:val="0"/>
          <w:sz w:val="32"/>
          <w:szCs w:val="32"/>
        </w:rPr>
      </w:pPr>
      <w:r>
        <w:rPr>
          <w:rFonts w:hint="eastAsia" w:ascii="仿宋" w:hAnsi="仿宋" w:eastAsia="仿宋" w:cs="仿宋"/>
          <w:color w:val="auto"/>
          <w:kern w:val="0"/>
          <w:sz w:val="32"/>
          <w:szCs w:val="32"/>
        </w:rPr>
        <w:t>11、住房保障支出（类）住房改革支出（款）提租补贴（项）202</w:t>
      </w:r>
      <w:r>
        <w:rPr>
          <w:rFonts w:hint="eastAsia" w:ascii="仿宋" w:hAnsi="仿宋" w:eastAsia="仿宋" w:cs="仿宋"/>
          <w:color w:val="auto"/>
          <w:kern w:val="0"/>
          <w:sz w:val="32"/>
          <w:szCs w:val="32"/>
          <w:lang w:val="en-US" w:eastAsia="zh-CN"/>
        </w:rPr>
        <w:t>5</w:t>
      </w:r>
      <w:r>
        <w:rPr>
          <w:rFonts w:hint="eastAsia" w:ascii="仿宋" w:hAnsi="仿宋" w:eastAsia="仿宋" w:cs="仿宋"/>
          <w:color w:val="auto"/>
          <w:kern w:val="0"/>
          <w:sz w:val="32"/>
          <w:szCs w:val="32"/>
        </w:rPr>
        <w:t>年预算37.01万元，比202</w:t>
      </w:r>
      <w:r>
        <w:rPr>
          <w:rFonts w:hint="eastAsia" w:ascii="仿宋" w:hAnsi="仿宋" w:eastAsia="仿宋" w:cs="仿宋"/>
          <w:color w:val="auto"/>
          <w:kern w:val="0"/>
          <w:sz w:val="32"/>
          <w:szCs w:val="32"/>
          <w:lang w:val="en-US" w:eastAsia="zh-CN"/>
        </w:rPr>
        <w:t>4</w:t>
      </w:r>
      <w:r>
        <w:rPr>
          <w:rFonts w:hint="eastAsia" w:ascii="仿宋" w:hAnsi="仿宋" w:eastAsia="仿宋" w:cs="仿宋"/>
          <w:color w:val="auto"/>
          <w:kern w:val="0"/>
          <w:sz w:val="32"/>
          <w:szCs w:val="32"/>
        </w:rPr>
        <w:t>年预算</w:t>
      </w:r>
      <w:r>
        <w:rPr>
          <w:rFonts w:hint="eastAsia" w:ascii="仿宋" w:hAnsi="仿宋" w:eastAsia="仿宋" w:cs="仿宋"/>
          <w:color w:val="auto"/>
          <w:kern w:val="0"/>
          <w:sz w:val="32"/>
          <w:szCs w:val="32"/>
          <w:lang w:val="en-US" w:eastAsia="zh-CN"/>
        </w:rPr>
        <w:t>减少</w:t>
      </w:r>
      <w:r>
        <w:rPr>
          <w:rFonts w:hint="eastAsia" w:ascii="仿宋" w:hAnsi="仿宋" w:eastAsia="仿宋" w:cs="仿宋"/>
          <w:color w:val="auto"/>
          <w:kern w:val="0"/>
          <w:sz w:val="32"/>
          <w:szCs w:val="32"/>
        </w:rPr>
        <w:t>2.51万元，</w:t>
      </w:r>
      <w:r>
        <w:rPr>
          <w:rFonts w:hint="eastAsia" w:ascii="仿宋" w:hAnsi="仿宋" w:eastAsia="仿宋" w:cs="仿宋"/>
          <w:color w:val="auto"/>
          <w:kern w:val="0"/>
          <w:sz w:val="32"/>
          <w:szCs w:val="32"/>
          <w:lang w:val="en-US" w:eastAsia="zh-CN"/>
        </w:rPr>
        <w:t>下降</w:t>
      </w:r>
      <w:r>
        <w:rPr>
          <w:rFonts w:hint="eastAsia" w:ascii="仿宋" w:hAnsi="仿宋" w:eastAsia="仿宋" w:cs="仿宋"/>
          <w:color w:val="auto"/>
          <w:kern w:val="0"/>
          <w:sz w:val="32"/>
          <w:szCs w:val="32"/>
        </w:rPr>
        <w:t>6.35%，原因主要是在职人员减少</w:t>
      </w:r>
      <w:r>
        <w:rPr>
          <w:rFonts w:hint="eastAsia" w:ascii="仿宋" w:hAnsi="仿宋" w:eastAsia="仿宋" w:cs="仿宋"/>
          <w:color w:val="auto"/>
          <w:kern w:val="0"/>
          <w:sz w:val="32"/>
          <w:szCs w:val="32"/>
          <w:lang w:val="en-US" w:eastAsia="zh-CN"/>
        </w:rPr>
        <w:t>及住房公积金</w:t>
      </w:r>
      <w:r>
        <w:rPr>
          <w:rFonts w:hint="eastAsia" w:ascii="仿宋" w:hAnsi="仿宋" w:eastAsia="仿宋" w:cs="仿宋"/>
          <w:color w:val="auto"/>
          <w:kern w:val="0"/>
          <w:sz w:val="32"/>
          <w:szCs w:val="32"/>
        </w:rPr>
        <w:t>基数</w:t>
      </w:r>
      <w:r>
        <w:rPr>
          <w:rFonts w:hint="eastAsia" w:ascii="仿宋" w:hAnsi="仿宋" w:eastAsia="仿宋" w:cs="仿宋"/>
          <w:color w:val="auto"/>
          <w:kern w:val="0"/>
          <w:sz w:val="32"/>
          <w:szCs w:val="32"/>
          <w:lang w:val="en-US" w:eastAsia="zh-CN"/>
        </w:rPr>
        <w:t>降低</w:t>
      </w:r>
      <w:r>
        <w:rPr>
          <w:rFonts w:hint="eastAsia" w:ascii="仿宋" w:hAnsi="仿宋" w:eastAsia="仿宋" w:cs="仿宋"/>
          <w:color w:val="auto"/>
          <w:kern w:val="0"/>
          <w:sz w:val="32"/>
          <w:szCs w:val="32"/>
        </w:rPr>
        <w:t>。</w:t>
      </w:r>
    </w:p>
    <w:p w14:paraId="37A0C5C1">
      <w:pPr>
        <w:ind w:firstLine="640" w:firstLineChars="200"/>
        <w:rPr>
          <w:rFonts w:ascii="TimesNewRoman" w:hAnsi="TimesNewRoman" w:eastAsia="楷体_GB2312" w:cs="TimesNewRoman"/>
          <w:color w:val="auto"/>
          <w:sz w:val="32"/>
          <w:szCs w:val="32"/>
        </w:rPr>
      </w:pPr>
      <w:r>
        <w:rPr>
          <w:rFonts w:hint="eastAsia" w:ascii="仿宋" w:hAnsi="仿宋" w:eastAsia="仿宋" w:cs="仿宋"/>
          <w:color w:val="auto"/>
          <w:kern w:val="0"/>
          <w:sz w:val="32"/>
          <w:szCs w:val="32"/>
        </w:rPr>
        <w:t>12、住房保障支出（类）住房改革支出（款）购房补贴（项）202</w:t>
      </w:r>
      <w:r>
        <w:rPr>
          <w:rFonts w:hint="eastAsia" w:ascii="仿宋" w:hAnsi="仿宋" w:eastAsia="仿宋" w:cs="仿宋"/>
          <w:color w:val="auto"/>
          <w:kern w:val="0"/>
          <w:sz w:val="32"/>
          <w:szCs w:val="32"/>
          <w:lang w:val="en-US" w:eastAsia="zh-CN"/>
        </w:rPr>
        <w:t>5</w:t>
      </w:r>
      <w:r>
        <w:rPr>
          <w:rFonts w:hint="eastAsia" w:ascii="仿宋" w:hAnsi="仿宋" w:eastAsia="仿宋" w:cs="仿宋"/>
          <w:color w:val="auto"/>
          <w:kern w:val="0"/>
          <w:sz w:val="32"/>
          <w:szCs w:val="32"/>
        </w:rPr>
        <w:t>年预算61.68万元，比202</w:t>
      </w:r>
      <w:r>
        <w:rPr>
          <w:rFonts w:hint="eastAsia" w:ascii="仿宋" w:hAnsi="仿宋" w:eastAsia="仿宋" w:cs="仿宋"/>
          <w:color w:val="auto"/>
          <w:kern w:val="0"/>
          <w:sz w:val="32"/>
          <w:szCs w:val="32"/>
          <w:lang w:val="en-US" w:eastAsia="zh-CN"/>
        </w:rPr>
        <w:t>4</w:t>
      </w:r>
      <w:r>
        <w:rPr>
          <w:rFonts w:hint="eastAsia" w:ascii="仿宋" w:hAnsi="仿宋" w:eastAsia="仿宋" w:cs="仿宋"/>
          <w:color w:val="auto"/>
          <w:kern w:val="0"/>
          <w:sz w:val="32"/>
          <w:szCs w:val="32"/>
        </w:rPr>
        <w:t>年预算增加4.19万元，增长6.36%，原因主要是在职人员减少</w:t>
      </w:r>
      <w:r>
        <w:rPr>
          <w:rFonts w:hint="eastAsia" w:ascii="仿宋" w:hAnsi="仿宋" w:eastAsia="仿宋" w:cs="仿宋"/>
          <w:color w:val="auto"/>
          <w:kern w:val="0"/>
          <w:sz w:val="32"/>
          <w:szCs w:val="32"/>
          <w:lang w:val="en-US" w:eastAsia="zh-CN"/>
        </w:rPr>
        <w:t>及住房公积金</w:t>
      </w:r>
      <w:r>
        <w:rPr>
          <w:rFonts w:hint="eastAsia" w:ascii="仿宋" w:hAnsi="仿宋" w:eastAsia="仿宋" w:cs="仿宋"/>
          <w:color w:val="auto"/>
          <w:kern w:val="0"/>
          <w:sz w:val="32"/>
          <w:szCs w:val="32"/>
        </w:rPr>
        <w:t>基数</w:t>
      </w:r>
      <w:r>
        <w:rPr>
          <w:rFonts w:hint="eastAsia" w:ascii="仿宋" w:hAnsi="仿宋" w:eastAsia="仿宋" w:cs="仿宋"/>
          <w:color w:val="auto"/>
          <w:kern w:val="0"/>
          <w:sz w:val="32"/>
          <w:szCs w:val="32"/>
          <w:lang w:val="en-US" w:eastAsia="zh-CN"/>
        </w:rPr>
        <w:t>降低</w:t>
      </w:r>
      <w:r>
        <w:rPr>
          <w:rFonts w:hint="eastAsia" w:ascii="仿宋" w:hAnsi="仿宋" w:eastAsia="仿宋" w:cs="仿宋"/>
          <w:color w:val="auto"/>
          <w:kern w:val="0"/>
          <w:sz w:val="32"/>
          <w:szCs w:val="32"/>
        </w:rPr>
        <w:t>。</w:t>
      </w:r>
    </w:p>
    <w:p w14:paraId="2A6B35D0">
      <w:pPr>
        <w:pStyle w:val="4"/>
        <w:adjustRightInd w:val="0"/>
        <w:snapToGrid w:val="0"/>
        <w:spacing w:line="560" w:lineRule="exact"/>
        <w:ind w:firstLine="627" w:firstLineChars="196"/>
        <w:rPr>
          <w:rFonts w:hint="eastAsia" w:ascii="黑体" w:hAnsi="黑体" w:eastAsia="黑体" w:cs="黑体"/>
          <w:bCs/>
          <w:color w:val="auto"/>
          <w:sz w:val="32"/>
          <w:szCs w:val="32"/>
        </w:rPr>
      </w:pPr>
      <w:r>
        <w:rPr>
          <w:rFonts w:hint="eastAsia" w:ascii="TimesNewRoman" w:hAnsi="TimesNewRoman" w:eastAsia="黑体" w:cs="TimesNewRoman"/>
          <w:bCs/>
          <w:color w:val="auto"/>
          <w:sz w:val="32"/>
          <w:szCs w:val="32"/>
        </w:rPr>
        <w:t>六、</w:t>
      </w:r>
      <w:r>
        <w:rPr>
          <w:rFonts w:hint="eastAsia" w:ascii="黑体" w:hAnsi="黑体" w:eastAsia="黑体" w:cs="黑体"/>
          <w:bCs/>
          <w:color w:val="auto"/>
          <w:sz w:val="32"/>
          <w:szCs w:val="32"/>
        </w:rPr>
        <w:t>关于2025年一般公共预算基本支出表的说明</w:t>
      </w:r>
    </w:p>
    <w:p w14:paraId="16CE88BA">
      <w:pPr>
        <w:ind w:firstLine="640" w:firstLineChars="200"/>
        <w:rPr>
          <w:rFonts w:hint="eastAsia" w:ascii="仿宋" w:hAnsi="仿宋" w:eastAsia="仿宋" w:cs="仿宋"/>
          <w:color w:val="auto"/>
          <w:kern w:val="0"/>
          <w:sz w:val="32"/>
          <w:szCs w:val="32"/>
          <w:lang w:eastAsia="zh-CN"/>
        </w:rPr>
      </w:pPr>
      <w:r>
        <w:rPr>
          <w:rFonts w:hint="eastAsia" w:ascii="仿宋" w:hAnsi="仿宋" w:eastAsia="仿宋" w:cs="仿宋"/>
          <w:color w:val="auto"/>
          <w:kern w:val="0"/>
          <w:sz w:val="32"/>
          <w:szCs w:val="32"/>
          <w:lang w:eastAsia="zh-CN"/>
        </w:rPr>
        <w:t>淮北市疾病预防控制中心2025年一般公共预算基本支出1931.54万元，其中，人员经费1785.0</w:t>
      </w:r>
      <w:r>
        <w:rPr>
          <w:rFonts w:hint="eastAsia" w:ascii="仿宋" w:hAnsi="仿宋" w:eastAsia="仿宋" w:cs="仿宋"/>
          <w:color w:val="auto"/>
          <w:kern w:val="0"/>
          <w:sz w:val="32"/>
          <w:szCs w:val="32"/>
          <w:lang w:val="en-US" w:eastAsia="zh-CN"/>
        </w:rPr>
        <w:t>4</w:t>
      </w:r>
      <w:r>
        <w:rPr>
          <w:rFonts w:hint="eastAsia" w:ascii="仿宋" w:hAnsi="仿宋" w:eastAsia="仿宋" w:cs="仿宋"/>
          <w:color w:val="auto"/>
          <w:kern w:val="0"/>
          <w:sz w:val="32"/>
          <w:szCs w:val="32"/>
          <w:lang w:eastAsia="zh-CN"/>
        </w:rPr>
        <w:t>万元，公用经费146.50万元。</w:t>
      </w:r>
    </w:p>
    <w:p w14:paraId="5BB9FD55">
      <w:pPr>
        <w:ind w:firstLine="643" w:firstLineChars="200"/>
        <w:rPr>
          <w:rFonts w:hint="eastAsia" w:ascii="仿宋" w:hAnsi="仿宋" w:eastAsia="仿宋" w:cs="仿宋"/>
          <w:color w:val="auto"/>
          <w:kern w:val="0"/>
          <w:sz w:val="32"/>
          <w:szCs w:val="32"/>
          <w:lang w:eastAsia="zh-CN"/>
        </w:rPr>
      </w:pPr>
      <w:r>
        <w:rPr>
          <w:rFonts w:hint="eastAsia" w:ascii="仿宋" w:hAnsi="仿宋" w:eastAsia="仿宋" w:cs="仿宋"/>
          <w:b/>
          <w:bCs/>
          <w:color w:val="auto"/>
          <w:kern w:val="0"/>
          <w:sz w:val="32"/>
          <w:szCs w:val="32"/>
          <w:lang w:eastAsia="zh-CN"/>
        </w:rPr>
        <w:t>（一）人员经费1785.0</w:t>
      </w:r>
      <w:r>
        <w:rPr>
          <w:rFonts w:hint="eastAsia" w:ascii="仿宋" w:hAnsi="仿宋" w:eastAsia="仿宋" w:cs="仿宋"/>
          <w:b/>
          <w:bCs/>
          <w:color w:val="auto"/>
          <w:kern w:val="0"/>
          <w:sz w:val="32"/>
          <w:szCs w:val="32"/>
          <w:lang w:val="en-US" w:eastAsia="zh-CN"/>
        </w:rPr>
        <w:t>4</w:t>
      </w:r>
      <w:r>
        <w:rPr>
          <w:rFonts w:hint="eastAsia" w:ascii="仿宋" w:hAnsi="仿宋" w:eastAsia="仿宋" w:cs="仿宋"/>
          <w:b/>
          <w:bCs/>
          <w:color w:val="auto"/>
          <w:kern w:val="0"/>
          <w:sz w:val="32"/>
          <w:szCs w:val="32"/>
          <w:lang w:eastAsia="zh-CN"/>
        </w:rPr>
        <w:t>万元，</w:t>
      </w:r>
      <w:r>
        <w:rPr>
          <w:rFonts w:hint="eastAsia" w:ascii="仿宋" w:hAnsi="仿宋" w:eastAsia="仿宋" w:cs="仿宋"/>
          <w:color w:val="auto"/>
          <w:kern w:val="0"/>
          <w:sz w:val="32"/>
          <w:szCs w:val="32"/>
          <w:lang w:eastAsia="zh-CN"/>
        </w:rPr>
        <w:t>主要包括:</w:t>
      </w:r>
      <w:r>
        <w:rPr>
          <w:rFonts w:hint="eastAsia" w:ascii="仿宋" w:hAnsi="仿宋" w:eastAsia="仿宋" w:cs="仿宋"/>
          <w:color w:val="auto"/>
          <w:kern w:val="0"/>
          <w:sz w:val="32"/>
          <w:szCs w:val="32"/>
        </w:rPr>
        <w:t>基本工资、津贴补贴、奖金、绩效工资、机关事业单位基本养老保险费、职业年金缴费、职工基本医疗保险缴费、公务员医疗补助缴费、其他社会保障缴费、工会经费、福利费、住房公积金、离休费、退休费、医疗费补助、对其他个人和家庭的补助支出。</w:t>
      </w:r>
    </w:p>
    <w:p w14:paraId="71D1ACDE">
      <w:pPr>
        <w:ind w:firstLine="643" w:firstLineChars="200"/>
        <w:rPr>
          <w:rFonts w:hint="eastAsia" w:ascii="仿宋" w:hAnsi="仿宋" w:eastAsia="仿宋" w:cs="仿宋"/>
          <w:color w:val="auto"/>
          <w:kern w:val="0"/>
          <w:sz w:val="32"/>
          <w:szCs w:val="32"/>
          <w:lang w:eastAsia="zh-CN"/>
        </w:rPr>
      </w:pPr>
      <w:r>
        <w:rPr>
          <w:rFonts w:hint="eastAsia" w:ascii="仿宋" w:hAnsi="仿宋" w:eastAsia="仿宋" w:cs="仿宋"/>
          <w:b/>
          <w:bCs/>
          <w:color w:val="auto"/>
          <w:kern w:val="0"/>
          <w:sz w:val="32"/>
          <w:szCs w:val="32"/>
          <w:lang w:eastAsia="zh-CN"/>
        </w:rPr>
        <w:t>（二）公用经费146.50万元，</w:t>
      </w:r>
      <w:r>
        <w:rPr>
          <w:rFonts w:hint="eastAsia" w:ascii="仿宋" w:hAnsi="仿宋" w:eastAsia="仿宋" w:cs="仿宋"/>
          <w:color w:val="auto"/>
          <w:kern w:val="0"/>
          <w:sz w:val="32"/>
          <w:szCs w:val="32"/>
          <w:lang w:eastAsia="zh-CN"/>
        </w:rPr>
        <w:t>主要包括：</w:t>
      </w:r>
      <w:r>
        <w:rPr>
          <w:rFonts w:hint="eastAsia" w:ascii="仿宋" w:hAnsi="仿宋" w:eastAsia="仿宋" w:cs="仿宋"/>
          <w:color w:val="auto"/>
          <w:kern w:val="0"/>
          <w:sz w:val="32"/>
          <w:szCs w:val="32"/>
        </w:rPr>
        <w:t>办公费、印刷费、水费、电费、邮电费、差旅费、维修（护）费、公务接待费、其他交通费用、其他商品服务支出。</w:t>
      </w:r>
    </w:p>
    <w:p w14:paraId="18ED3253">
      <w:pPr>
        <w:pStyle w:val="4"/>
        <w:adjustRightInd w:val="0"/>
        <w:snapToGrid w:val="0"/>
        <w:spacing w:line="560" w:lineRule="exact"/>
        <w:ind w:firstLine="627" w:firstLineChars="196"/>
        <w:rPr>
          <w:rFonts w:ascii="TimesNewRoman" w:hAnsi="TimesNewRoman" w:eastAsia="黑体" w:cs="TimesNewRoman"/>
          <w:bCs/>
          <w:color w:val="auto"/>
          <w:sz w:val="32"/>
          <w:szCs w:val="32"/>
        </w:rPr>
      </w:pPr>
      <w:r>
        <w:rPr>
          <w:rFonts w:hint="eastAsia" w:ascii="TimesNewRoman" w:hAnsi="TimesNewRoman" w:eastAsia="黑体" w:cs="TimesNewRoman"/>
          <w:bCs/>
          <w:color w:val="auto"/>
          <w:sz w:val="32"/>
          <w:szCs w:val="32"/>
        </w:rPr>
        <w:t>七、</w:t>
      </w:r>
      <w:r>
        <w:rPr>
          <w:rFonts w:hint="eastAsia" w:ascii="黑体" w:hAnsi="黑体" w:eastAsia="黑体" w:cs="黑体"/>
          <w:bCs/>
          <w:color w:val="auto"/>
          <w:sz w:val="32"/>
          <w:szCs w:val="32"/>
        </w:rPr>
        <w:t>关于2025年政府性基金</w:t>
      </w:r>
      <w:r>
        <w:rPr>
          <w:rFonts w:hint="eastAsia" w:ascii="TimesNewRoman" w:hAnsi="TimesNewRoman" w:eastAsia="黑体" w:cs="TimesNewRoman"/>
          <w:bCs/>
          <w:color w:val="auto"/>
          <w:sz w:val="32"/>
          <w:szCs w:val="32"/>
        </w:rPr>
        <w:t>预算支出表的说明</w:t>
      </w:r>
    </w:p>
    <w:p w14:paraId="64504597">
      <w:pPr>
        <w:ind w:firstLine="640" w:firstLineChars="200"/>
        <w:rPr>
          <w:rFonts w:hint="eastAsia" w:ascii="仿宋" w:hAnsi="仿宋" w:eastAsia="仿宋" w:cs="仿宋"/>
          <w:color w:val="auto"/>
          <w:kern w:val="0"/>
          <w:sz w:val="32"/>
          <w:szCs w:val="32"/>
          <w:lang w:eastAsia="zh-CN"/>
        </w:rPr>
      </w:pPr>
      <w:r>
        <w:rPr>
          <w:rFonts w:hint="eastAsia" w:ascii="仿宋" w:hAnsi="仿宋" w:eastAsia="仿宋" w:cs="仿宋"/>
          <w:color w:val="auto"/>
          <w:kern w:val="0"/>
          <w:sz w:val="32"/>
          <w:szCs w:val="32"/>
          <w:lang w:eastAsia="zh-CN"/>
        </w:rPr>
        <w:t>淮北市疾病预防控制中心2025年没有政府性基金预算拨款收入，也没有使用政府性基金预算拨款安排的支出。</w:t>
      </w:r>
    </w:p>
    <w:p w14:paraId="3C508298">
      <w:pPr>
        <w:pStyle w:val="4"/>
        <w:adjustRightInd w:val="0"/>
        <w:snapToGrid w:val="0"/>
        <w:spacing w:line="560" w:lineRule="exact"/>
        <w:ind w:firstLine="627" w:firstLineChars="196"/>
        <w:rPr>
          <w:rFonts w:ascii="TimesNewRoman" w:hAnsi="TimesNewRoman" w:eastAsia="黑体" w:cs="TimesNewRoman"/>
          <w:bCs/>
          <w:color w:val="auto"/>
          <w:sz w:val="32"/>
          <w:szCs w:val="32"/>
        </w:rPr>
      </w:pPr>
      <w:r>
        <w:rPr>
          <w:rFonts w:hint="eastAsia" w:ascii="TimesNewRoman" w:hAnsi="TimesNewRoman" w:eastAsia="黑体" w:cs="TimesNewRoman"/>
          <w:bCs/>
          <w:color w:val="auto"/>
          <w:sz w:val="32"/>
          <w:szCs w:val="32"/>
        </w:rPr>
        <w:t>八、</w:t>
      </w:r>
      <w:r>
        <w:rPr>
          <w:rFonts w:hint="eastAsia" w:ascii="黑体" w:hAnsi="黑体" w:eastAsia="黑体" w:cs="黑体"/>
          <w:bCs/>
          <w:color w:val="auto"/>
          <w:sz w:val="32"/>
          <w:szCs w:val="32"/>
        </w:rPr>
        <w:t>关于2025年国有资本经营预算支出表的</w:t>
      </w:r>
      <w:r>
        <w:rPr>
          <w:rFonts w:hint="eastAsia" w:ascii="TimesNewRoman" w:hAnsi="TimesNewRoman" w:eastAsia="黑体" w:cs="TimesNewRoman"/>
          <w:bCs/>
          <w:color w:val="auto"/>
          <w:sz w:val="32"/>
          <w:szCs w:val="32"/>
        </w:rPr>
        <w:t>说明</w:t>
      </w:r>
    </w:p>
    <w:p w14:paraId="2A49EF70">
      <w:pPr>
        <w:ind w:firstLine="640" w:firstLineChars="200"/>
        <w:rPr>
          <w:rFonts w:hint="eastAsia" w:ascii="仿宋" w:hAnsi="仿宋" w:eastAsia="仿宋" w:cs="仿宋"/>
          <w:color w:val="auto"/>
          <w:kern w:val="0"/>
          <w:sz w:val="32"/>
          <w:szCs w:val="32"/>
          <w:lang w:eastAsia="zh-CN"/>
        </w:rPr>
      </w:pPr>
      <w:r>
        <w:rPr>
          <w:rFonts w:hint="eastAsia" w:ascii="仿宋" w:hAnsi="仿宋" w:eastAsia="仿宋" w:cs="仿宋"/>
          <w:color w:val="auto"/>
          <w:kern w:val="0"/>
          <w:sz w:val="32"/>
          <w:szCs w:val="32"/>
          <w:lang w:eastAsia="zh-CN"/>
        </w:rPr>
        <w:t>淮北市疾病预防控制中心2025年没有国有资本经营预算拨款收入，也没有使用国有资本经营预算拨款安排的支出。</w:t>
      </w:r>
    </w:p>
    <w:p w14:paraId="3998806D">
      <w:pPr>
        <w:pStyle w:val="4"/>
        <w:adjustRightInd w:val="0"/>
        <w:snapToGrid w:val="0"/>
        <w:spacing w:line="560" w:lineRule="exact"/>
        <w:ind w:firstLine="627" w:firstLineChars="196"/>
        <w:rPr>
          <w:rFonts w:hint="eastAsia" w:ascii="黑体" w:hAnsi="黑体" w:eastAsia="黑体" w:cs="黑体"/>
          <w:bCs/>
          <w:color w:val="auto"/>
          <w:sz w:val="32"/>
          <w:szCs w:val="32"/>
        </w:rPr>
      </w:pPr>
      <w:r>
        <w:rPr>
          <w:rFonts w:hint="eastAsia" w:ascii="TimesNewRoman" w:hAnsi="TimesNewRoman" w:eastAsia="黑体" w:cs="TimesNewRoman"/>
          <w:bCs/>
          <w:color w:val="auto"/>
          <w:sz w:val="32"/>
          <w:szCs w:val="32"/>
        </w:rPr>
        <w:t>九、关</w:t>
      </w:r>
      <w:r>
        <w:rPr>
          <w:rFonts w:hint="eastAsia" w:ascii="黑体" w:hAnsi="黑体" w:eastAsia="黑体" w:cs="黑体"/>
          <w:bCs/>
          <w:color w:val="auto"/>
          <w:sz w:val="32"/>
          <w:szCs w:val="32"/>
        </w:rPr>
        <w:t>于2025年项目支出表的说明</w:t>
      </w:r>
    </w:p>
    <w:p w14:paraId="66BAAB5B">
      <w:pPr>
        <w:ind w:firstLine="640" w:firstLineChars="200"/>
        <w:rPr>
          <w:rFonts w:hint="eastAsia" w:ascii="仿宋" w:hAnsi="仿宋" w:eastAsia="仿宋" w:cs="仿宋"/>
          <w:color w:val="auto"/>
          <w:kern w:val="0"/>
          <w:sz w:val="32"/>
          <w:szCs w:val="32"/>
          <w:lang w:eastAsia="zh-CN"/>
        </w:rPr>
      </w:pPr>
      <w:r>
        <w:rPr>
          <w:rFonts w:hint="eastAsia" w:ascii="仿宋" w:hAnsi="仿宋" w:eastAsia="仿宋" w:cs="仿宋"/>
          <w:color w:val="auto"/>
          <w:kern w:val="0"/>
          <w:sz w:val="32"/>
          <w:szCs w:val="32"/>
          <w:lang w:eastAsia="zh-CN"/>
        </w:rPr>
        <w:t>淮北市疾病预防控制中心2025年预算共安排项目支出418.4</w:t>
      </w:r>
      <w:r>
        <w:rPr>
          <w:rFonts w:hint="eastAsia" w:ascii="仿宋" w:hAnsi="仿宋" w:eastAsia="仿宋" w:cs="仿宋"/>
          <w:color w:val="auto"/>
          <w:kern w:val="0"/>
          <w:sz w:val="32"/>
          <w:szCs w:val="32"/>
          <w:lang w:val="en-US" w:eastAsia="zh-CN"/>
        </w:rPr>
        <w:t>0</w:t>
      </w:r>
      <w:r>
        <w:rPr>
          <w:rFonts w:hint="eastAsia" w:ascii="仿宋" w:hAnsi="仿宋" w:eastAsia="仿宋" w:cs="仿宋"/>
          <w:color w:val="auto"/>
          <w:kern w:val="0"/>
          <w:sz w:val="32"/>
          <w:szCs w:val="32"/>
          <w:lang w:eastAsia="zh-CN"/>
        </w:rPr>
        <w:t>万元，比2024年预算减少</w:t>
      </w:r>
      <w:r>
        <w:rPr>
          <w:rFonts w:hint="eastAsia" w:ascii="仿宋" w:hAnsi="仿宋" w:eastAsia="仿宋" w:cs="仿宋"/>
          <w:color w:val="auto"/>
          <w:kern w:val="0"/>
          <w:sz w:val="32"/>
          <w:szCs w:val="32"/>
          <w:lang w:val="en-US" w:eastAsia="zh-CN"/>
        </w:rPr>
        <w:t>79.60</w:t>
      </w:r>
      <w:r>
        <w:rPr>
          <w:rFonts w:hint="eastAsia" w:ascii="仿宋" w:hAnsi="仿宋" w:eastAsia="仿宋" w:cs="仿宋"/>
          <w:color w:val="auto"/>
          <w:kern w:val="0"/>
          <w:sz w:val="32"/>
          <w:szCs w:val="32"/>
          <w:lang w:eastAsia="zh-CN"/>
        </w:rPr>
        <w:t>万元，下降15.98%，原因主要是</w:t>
      </w:r>
      <w:r>
        <w:rPr>
          <w:rFonts w:hint="eastAsia" w:ascii="仿宋" w:hAnsi="仿宋" w:eastAsia="仿宋" w:cs="仿宋"/>
          <w:color w:val="auto"/>
          <w:kern w:val="0"/>
          <w:sz w:val="32"/>
          <w:szCs w:val="32"/>
          <w:lang w:val="en-US" w:eastAsia="zh-CN"/>
        </w:rPr>
        <w:t>非税收入减少</w:t>
      </w:r>
      <w:r>
        <w:rPr>
          <w:rFonts w:hint="eastAsia" w:ascii="仿宋" w:hAnsi="仿宋" w:eastAsia="仿宋" w:cs="仿宋"/>
          <w:color w:val="auto"/>
          <w:kern w:val="0"/>
          <w:sz w:val="32"/>
          <w:szCs w:val="32"/>
          <w:lang w:eastAsia="zh-CN"/>
        </w:rPr>
        <w:t>。主要包括：本年财政拨款安排418.4</w:t>
      </w:r>
      <w:r>
        <w:rPr>
          <w:rFonts w:hint="eastAsia" w:ascii="仿宋" w:hAnsi="仿宋" w:eastAsia="仿宋" w:cs="仿宋"/>
          <w:color w:val="auto"/>
          <w:kern w:val="0"/>
          <w:sz w:val="32"/>
          <w:szCs w:val="32"/>
          <w:lang w:val="en-US" w:eastAsia="zh-CN"/>
        </w:rPr>
        <w:t>0</w:t>
      </w:r>
      <w:r>
        <w:rPr>
          <w:rFonts w:hint="eastAsia" w:ascii="仿宋" w:hAnsi="仿宋" w:eastAsia="仿宋" w:cs="仿宋"/>
          <w:color w:val="auto"/>
          <w:kern w:val="0"/>
          <w:sz w:val="32"/>
          <w:szCs w:val="32"/>
          <w:lang w:eastAsia="zh-CN"/>
        </w:rPr>
        <w:t>万元（其中，一般公共预算拨款安排418.4</w:t>
      </w:r>
      <w:r>
        <w:rPr>
          <w:rFonts w:hint="eastAsia" w:ascii="仿宋" w:hAnsi="仿宋" w:eastAsia="仿宋" w:cs="仿宋"/>
          <w:color w:val="auto"/>
          <w:kern w:val="0"/>
          <w:sz w:val="32"/>
          <w:szCs w:val="32"/>
          <w:lang w:val="en-US" w:eastAsia="zh-CN"/>
        </w:rPr>
        <w:t>0</w:t>
      </w:r>
      <w:r>
        <w:rPr>
          <w:rFonts w:hint="eastAsia" w:ascii="仿宋" w:hAnsi="仿宋" w:eastAsia="仿宋" w:cs="仿宋"/>
          <w:color w:val="auto"/>
          <w:kern w:val="0"/>
          <w:sz w:val="32"/>
          <w:szCs w:val="32"/>
          <w:lang w:eastAsia="zh-CN"/>
        </w:rPr>
        <w:t>万元，政府性基金预算拨款安排</w:t>
      </w:r>
      <w:r>
        <w:rPr>
          <w:rFonts w:hint="eastAsia" w:ascii="仿宋" w:hAnsi="仿宋" w:eastAsia="仿宋" w:cs="仿宋"/>
          <w:color w:val="auto"/>
          <w:kern w:val="0"/>
          <w:sz w:val="32"/>
          <w:szCs w:val="32"/>
          <w:lang w:val="en-US" w:eastAsia="zh-CN"/>
        </w:rPr>
        <w:t>0</w:t>
      </w:r>
      <w:r>
        <w:rPr>
          <w:rFonts w:hint="eastAsia" w:ascii="仿宋" w:hAnsi="仿宋" w:eastAsia="仿宋" w:cs="仿宋"/>
          <w:color w:val="auto"/>
          <w:kern w:val="0"/>
          <w:sz w:val="32"/>
          <w:szCs w:val="32"/>
          <w:lang w:eastAsia="zh-CN"/>
        </w:rPr>
        <w:t>万元），财政专户管理资金安排</w:t>
      </w:r>
      <w:r>
        <w:rPr>
          <w:rFonts w:hint="eastAsia" w:ascii="仿宋" w:hAnsi="仿宋" w:eastAsia="仿宋" w:cs="仿宋"/>
          <w:color w:val="auto"/>
          <w:kern w:val="0"/>
          <w:sz w:val="32"/>
          <w:szCs w:val="32"/>
          <w:lang w:val="en-US" w:eastAsia="zh-CN"/>
        </w:rPr>
        <w:t>0</w:t>
      </w:r>
      <w:r>
        <w:rPr>
          <w:rFonts w:hint="eastAsia" w:ascii="仿宋" w:hAnsi="仿宋" w:eastAsia="仿宋" w:cs="仿宋"/>
          <w:color w:val="auto"/>
          <w:kern w:val="0"/>
          <w:sz w:val="32"/>
          <w:szCs w:val="32"/>
          <w:lang w:eastAsia="zh-CN"/>
        </w:rPr>
        <w:t>万元。</w:t>
      </w:r>
    </w:p>
    <w:p w14:paraId="31B02670">
      <w:pPr>
        <w:pStyle w:val="4"/>
        <w:adjustRightInd w:val="0"/>
        <w:snapToGrid w:val="0"/>
        <w:spacing w:line="560" w:lineRule="exact"/>
        <w:ind w:firstLine="627" w:firstLineChars="196"/>
        <w:rPr>
          <w:rFonts w:ascii="TimesNewRoman" w:hAnsi="TimesNewRoman" w:eastAsia="黑体" w:cs="TimesNewRoman"/>
          <w:bCs/>
          <w:color w:val="auto"/>
          <w:sz w:val="32"/>
          <w:szCs w:val="32"/>
        </w:rPr>
      </w:pPr>
      <w:r>
        <w:rPr>
          <w:rFonts w:hint="eastAsia" w:ascii="TimesNewRoman" w:hAnsi="TimesNewRoman" w:eastAsia="黑体" w:cs="TimesNewRoman"/>
          <w:bCs/>
          <w:color w:val="auto"/>
          <w:sz w:val="32"/>
          <w:szCs w:val="32"/>
        </w:rPr>
        <w:t>十、关</w:t>
      </w:r>
      <w:r>
        <w:rPr>
          <w:rFonts w:hint="eastAsia" w:ascii="黑体" w:hAnsi="黑体" w:eastAsia="黑体" w:cs="黑体"/>
          <w:bCs/>
          <w:color w:val="auto"/>
          <w:sz w:val="32"/>
          <w:szCs w:val="32"/>
        </w:rPr>
        <w:t>于2025年政府</w:t>
      </w:r>
      <w:r>
        <w:rPr>
          <w:rFonts w:hint="eastAsia" w:ascii="TimesNewRoman" w:hAnsi="TimesNewRoman" w:eastAsia="黑体" w:cs="TimesNewRoman"/>
          <w:bCs/>
          <w:color w:val="auto"/>
          <w:sz w:val="32"/>
          <w:szCs w:val="32"/>
        </w:rPr>
        <w:t>采购支出表的说明</w:t>
      </w:r>
    </w:p>
    <w:p w14:paraId="25D5C587">
      <w:pPr>
        <w:ind w:firstLine="640" w:firstLineChars="200"/>
        <w:rPr>
          <w:rFonts w:hint="eastAsia" w:ascii="仿宋" w:hAnsi="仿宋" w:eastAsia="仿宋" w:cs="仿宋"/>
          <w:color w:val="auto"/>
          <w:kern w:val="0"/>
          <w:sz w:val="32"/>
          <w:szCs w:val="32"/>
          <w:lang w:eastAsia="zh-CN"/>
        </w:rPr>
      </w:pPr>
      <w:r>
        <w:rPr>
          <w:rFonts w:hint="eastAsia" w:ascii="仿宋" w:hAnsi="仿宋" w:eastAsia="仿宋" w:cs="仿宋"/>
          <w:color w:val="auto"/>
          <w:kern w:val="0"/>
          <w:sz w:val="32"/>
          <w:szCs w:val="32"/>
          <w:lang w:eastAsia="zh-CN"/>
        </w:rPr>
        <w:t>淮北市疾病预防控制中心2025年预算安排政府采购支出93</w:t>
      </w:r>
      <w:r>
        <w:rPr>
          <w:rFonts w:hint="eastAsia" w:ascii="仿宋" w:hAnsi="仿宋" w:eastAsia="仿宋" w:cs="仿宋"/>
          <w:color w:val="auto"/>
          <w:kern w:val="0"/>
          <w:sz w:val="32"/>
          <w:szCs w:val="32"/>
          <w:lang w:val="en-US" w:eastAsia="zh-CN"/>
        </w:rPr>
        <w:t>.00</w:t>
      </w:r>
      <w:r>
        <w:rPr>
          <w:rFonts w:hint="eastAsia" w:ascii="仿宋" w:hAnsi="仿宋" w:eastAsia="仿宋" w:cs="仿宋"/>
          <w:color w:val="auto"/>
          <w:kern w:val="0"/>
          <w:sz w:val="32"/>
          <w:szCs w:val="32"/>
          <w:lang w:eastAsia="zh-CN"/>
        </w:rPr>
        <w:t>万元，比2024年预算增加</w:t>
      </w:r>
      <w:r>
        <w:rPr>
          <w:rFonts w:hint="eastAsia" w:ascii="仿宋" w:hAnsi="仿宋" w:eastAsia="仿宋" w:cs="仿宋"/>
          <w:color w:val="auto"/>
          <w:kern w:val="0"/>
          <w:sz w:val="32"/>
          <w:szCs w:val="32"/>
          <w:lang w:val="en-US" w:eastAsia="zh-CN"/>
        </w:rPr>
        <w:t>68.00</w:t>
      </w:r>
      <w:r>
        <w:rPr>
          <w:rFonts w:hint="eastAsia" w:ascii="仿宋" w:hAnsi="仿宋" w:eastAsia="仿宋" w:cs="仿宋"/>
          <w:color w:val="auto"/>
          <w:kern w:val="0"/>
          <w:sz w:val="32"/>
          <w:szCs w:val="32"/>
          <w:lang w:eastAsia="zh-CN"/>
        </w:rPr>
        <w:t>万元，增长272</w:t>
      </w:r>
      <w:r>
        <w:rPr>
          <w:rFonts w:hint="eastAsia" w:ascii="仿宋" w:hAnsi="仿宋" w:eastAsia="仿宋" w:cs="仿宋"/>
          <w:color w:val="auto"/>
          <w:kern w:val="0"/>
          <w:sz w:val="32"/>
          <w:szCs w:val="32"/>
          <w:lang w:val="en-US" w:eastAsia="zh-CN"/>
        </w:rPr>
        <w:t>.00</w:t>
      </w:r>
      <w:r>
        <w:rPr>
          <w:rFonts w:hint="eastAsia" w:ascii="仿宋" w:hAnsi="仿宋" w:eastAsia="仿宋" w:cs="仿宋"/>
          <w:color w:val="auto"/>
          <w:kern w:val="0"/>
          <w:sz w:val="32"/>
          <w:szCs w:val="32"/>
          <w:lang w:eastAsia="zh-CN"/>
        </w:rPr>
        <w:t>%，原因主要是</w:t>
      </w:r>
      <w:r>
        <w:rPr>
          <w:rFonts w:hint="eastAsia" w:ascii="仿宋" w:hAnsi="仿宋" w:eastAsia="仿宋" w:cs="仿宋"/>
          <w:color w:val="auto"/>
          <w:kern w:val="0"/>
          <w:sz w:val="32"/>
          <w:szCs w:val="32"/>
          <w:lang w:val="en-US" w:eastAsia="zh-CN"/>
        </w:rPr>
        <w:t>本年度新增</w:t>
      </w:r>
      <w:r>
        <w:rPr>
          <w:rFonts w:hint="eastAsia" w:ascii="仿宋" w:hAnsi="仿宋" w:eastAsia="仿宋" w:cs="仿宋"/>
          <w:color w:val="auto"/>
          <w:kern w:val="0"/>
          <w:sz w:val="32"/>
          <w:szCs w:val="32"/>
          <w:lang w:eastAsia="zh-CN"/>
        </w:rPr>
        <w:t>市疾控中心大楼搬迁项目</w:t>
      </w:r>
      <w:r>
        <w:rPr>
          <w:rFonts w:hint="eastAsia" w:ascii="仿宋" w:hAnsi="仿宋" w:eastAsia="仿宋" w:cs="仿宋"/>
          <w:color w:val="auto"/>
          <w:kern w:val="0"/>
          <w:sz w:val="32"/>
          <w:szCs w:val="32"/>
          <w:lang w:val="en-US" w:eastAsia="zh-CN"/>
        </w:rPr>
        <w:t>为政府采购支出</w:t>
      </w:r>
      <w:r>
        <w:rPr>
          <w:rFonts w:hint="eastAsia" w:ascii="仿宋" w:hAnsi="仿宋" w:eastAsia="仿宋" w:cs="仿宋"/>
          <w:color w:val="auto"/>
          <w:kern w:val="0"/>
          <w:sz w:val="32"/>
          <w:szCs w:val="32"/>
          <w:lang w:eastAsia="zh-CN"/>
        </w:rPr>
        <w:t>。其中，一般公共预算安排93</w:t>
      </w:r>
      <w:r>
        <w:rPr>
          <w:rFonts w:hint="eastAsia" w:ascii="仿宋" w:hAnsi="仿宋" w:eastAsia="仿宋" w:cs="仿宋"/>
          <w:color w:val="auto"/>
          <w:kern w:val="0"/>
          <w:sz w:val="32"/>
          <w:szCs w:val="32"/>
          <w:lang w:val="en-US" w:eastAsia="zh-CN"/>
        </w:rPr>
        <w:t>.00</w:t>
      </w:r>
      <w:r>
        <w:rPr>
          <w:rFonts w:hint="eastAsia" w:ascii="仿宋" w:hAnsi="仿宋" w:eastAsia="仿宋" w:cs="仿宋"/>
          <w:color w:val="auto"/>
          <w:kern w:val="0"/>
          <w:sz w:val="32"/>
          <w:szCs w:val="32"/>
          <w:lang w:eastAsia="zh-CN"/>
        </w:rPr>
        <w:t>万元，占</w:t>
      </w:r>
      <w:r>
        <w:rPr>
          <w:rFonts w:hint="eastAsia" w:ascii="仿宋" w:hAnsi="仿宋" w:eastAsia="仿宋" w:cs="仿宋"/>
          <w:color w:val="auto"/>
          <w:kern w:val="0"/>
          <w:sz w:val="32"/>
          <w:szCs w:val="32"/>
          <w:lang w:val="en-US" w:eastAsia="zh-CN"/>
        </w:rPr>
        <w:t>100</w:t>
      </w:r>
      <w:r>
        <w:rPr>
          <w:rFonts w:hint="eastAsia" w:ascii="仿宋" w:hAnsi="仿宋" w:eastAsia="仿宋" w:cs="仿宋"/>
          <w:color w:val="auto"/>
          <w:kern w:val="0"/>
          <w:sz w:val="32"/>
          <w:szCs w:val="32"/>
          <w:lang w:eastAsia="zh-CN"/>
        </w:rPr>
        <w:t>%；政府性基金预算安排</w:t>
      </w:r>
      <w:r>
        <w:rPr>
          <w:rFonts w:hint="eastAsia" w:ascii="仿宋" w:hAnsi="仿宋" w:eastAsia="仿宋" w:cs="仿宋"/>
          <w:color w:val="auto"/>
          <w:kern w:val="0"/>
          <w:sz w:val="32"/>
          <w:szCs w:val="32"/>
          <w:lang w:val="en-US" w:eastAsia="zh-CN"/>
        </w:rPr>
        <w:t>0</w:t>
      </w:r>
      <w:r>
        <w:rPr>
          <w:rFonts w:hint="eastAsia" w:ascii="仿宋" w:hAnsi="仿宋" w:eastAsia="仿宋" w:cs="仿宋"/>
          <w:color w:val="auto"/>
          <w:kern w:val="0"/>
          <w:sz w:val="32"/>
          <w:szCs w:val="32"/>
          <w:lang w:eastAsia="zh-CN"/>
        </w:rPr>
        <w:t>万元，占</w:t>
      </w:r>
      <w:r>
        <w:rPr>
          <w:rFonts w:hint="eastAsia" w:ascii="仿宋" w:hAnsi="仿宋" w:eastAsia="仿宋" w:cs="仿宋"/>
          <w:color w:val="auto"/>
          <w:kern w:val="0"/>
          <w:sz w:val="32"/>
          <w:szCs w:val="32"/>
          <w:lang w:val="en-US" w:eastAsia="zh-CN"/>
        </w:rPr>
        <w:t>0</w:t>
      </w:r>
      <w:r>
        <w:rPr>
          <w:rFonts w:hint="eastAsia" w:ascii="仿宋" w:hAnsi="仿宋" w:eastAsia="仿宋" w:cs="仿宋"/>
          <w:color w:val="auto"/>
          <w:kern w:val="0"/>
          <w:sz w:val="32"/>
          <w:szCs w:val="32"/>
          <w:lang w:eastAsia="zh-CN"/>
        </w:rPr>
        <w:t>%；财政专户管理资金安排</w:t>
      </w:r>
      <w:r>
        <w:rPr>
          <w:rFonts w:hint="eastAsia" w:ascii="仿宋" w:hAnsi="仿宋" w:eastAsia="仿宋" w:cs="仿宋"/>
          <w:color w:val="auto"/>
          <w:kern w:val="0"/>
          <w:sz w:val="32"/>
          <w:szCs w:val="32"/>
          <w:lang w:val="en-US" w:eastAsia="zh-CN"/>
        </w:rPr>
        <w:t>0</w:t>
      </w:r>
      <w:r>
        <w:rPr>
          <w:rFonts w:hint="eastAsia" w:ascii="仿宋" w:hAnsi="仿宋" w:eastAsia="仿宋" w:cs="仿宋"/>
          <w:color w:val="auto"/>
          <w:kern w:val="0"/>
          <w:sz w:val="32"/>
          <w:szCs w:val="32"/>
          <w:lang w:eastAsia="zh-CN"/>
        </w:rPr>
        <w:t>万元，占</w:t>
      </w:r>
      <w:r>
        <w:rPr>
          <w:rFonts w:hint="eastAsia" w:ascii="仿宋" w:hAnsi="仿宋" w:eastAsia="仿宋" w:cs="仿宋"/>
          <w:color w:val="auto"/>
          <w:kern w:val="0"/>
          <w:sz w:val="32"/>
          <w:szCs w:val="32"/>
          <w:lang w:val="en-US" w:eastAsia="zh-CN"/>
        </w:rPr>
        <w:t>0</w:t>
      </w:r>
      <w:r>
        <w:rPr>
          <w:rFonts w:hint="eastAsia" w:ascii="仿宋" w:hAnsi="仿宋" w:eastAsia="仿宋" w:cs="仿宋"/>
          <w:color w:val="auto"/>
          <w:kern w:val="0"/>
          <w:sz w:val="32"/>
          <w:szCs w:val="32"/>
          <w:lang w:eastAsia="zh-CN"/>
        </w:rPr>
        <w:t>%。</w:t>
      </w:r>
    </w:p>
    <w:p w14:paraId="5B5CC9E2">
      <w:pPr>
        <w:pStyle w:val="4"/>
        <w:adjustRightInd w:val="0"/>
        <w:snapToGrid w:val="0"/>
        <w:spacing w:line="560" w:lineRule="exact"/>
        <w:ind w:firstLine="627" w:firstLineChars="196"/>
        <w:rPr>
          <w:rFonts w:ascii="TimesNewRoman" w:hAnsi="TimesNewRoman" w:eastAsia="黑体" w:cs="TimesNewRoman"/>
          <w:bCs/>
          <w:color w:val="auto"/>
          <w:sz w:val="32"/>
          <w:szCs w:val="32"/>
        </w:rPr>
      </w:pPr>
      <w:r>
        <w:rPr>
          <w:rFonts w:hint="eastAsia" w:ascii="TimesNewRoman" w:hAnsi="TimesNewRoman" w:eastAsia="黑体" w:cs="TimesNewRoman"/>
          <w:bCs/>
          <w:color w:val="auto"/>
          <w:sz w:val="32"/>
          <w:szCs w:val="32"/>
        </w:rPr>
        <w:t>十一、关</w:t>
      </w:r>
      <w:r>
        <w:rPr>
          <w:rFonts w:hint="eastAsia" w:ascii="黑体" w:hAnsi="黑体" w:eastAsia="黑体" w:cs="黑体"/>
          <w:bCs/>
          <w:color w:val="auto"/>
          <w:sz w:val="32"/>
          <w:szCs w:val="32"/>
        </w:rPr>
        <w:t>于2025年政府购买服务支出</w:t>
      </w:r>
      <w:r>
        <w:rPr>
          <w:rFonts w:hint="eastAsia" w:ascii="TimesNewRoman" w:hAnsi="TimesNewRoman" w:eastAsia="黑体" w:cs="TimesNewRoman"/>
          <w:bCs/>
          <w:color w:val="auto"/>
          <w:sz w:val="32"/>
          <w:szCs w:val="32"/>
        </w:rPr>
        <w:t>表的说明</w:t>
      </w:r>
    </w:p>
    <w:p w14:paraId="16696FAE">
      <w:pPr>
        <w:ind w:firstLine="640" w:firstLineChars="200"/>
        <w:rPr>
          <w:rFonts w:hint="eastAsia" w:ascii="仿宋" w:hAnsi="仿宋" w:eastAsia="仿宋" w:cs="仿宋"/>
          <w:color w:val="auto"/>
          <w:kern w:val="0"/>
          <w:sz w:val="32"/>
          <w:szCs w:val="32"/>
          <w:lang w:eastAsia="zh-CN"/>
        </w:rPr>
      </w:pPr>
      <w:r>
        <w:rPr>
          <w:rFonts w:hint="eastAsia" w:ascii="仿宋" w:hAnsi="仿宋" w:eastAsia="仿宋" w:cs="仿宋"/>
          <w:color w:val="auto"/>
          <w:kern w:val="0"/>
          <w:sz w:val="32"/>
          <w:szCs w:val="32"/>
          <w:lang w:eastAsia="zh-CN"/>
        </w:rPr>
        <w:t>淮北市疾病预防控制中心2025年没有安排政府购买服务支出。</w:t>
      </w:r>
    </w:p>
    <w:p w14:paraId="172C4FFE">
      <w:pPr>
        <w:pStyle w:val="4"/>
        <w:adjustRightInd w:val="0"/>
        <w:snapToGrid w:val="0"/>
        <w:spacing w:line="560" w:lineRule="exact"/>
        <w:ind w:firstLine="640" w:firstLineChars="200"/>
        <w:rPr>
          <w:rFonts w:ascii="TimesNewRoman" w:hAnsi="TimesNewRoman" w:eastAsia="黑体" w:cs="TimesNewRoman"/>
          <w:color w:val="auto"/>
          <w:sz w:val="32"/>
          <w:szCs w:val="32"/>
          <w:highlight w:val="none"/>
        </w:rPr>
      </w:pPr>
      <w:r>
        <w:rPr>
          <w:rFonts w:hint="eastAsia" w:ascii="TimesNewRoman" w:hAnsi="TimesNewRoman" w:eastAsia="黑体" w:cs="TimesNewRoman"/>
          <w:bCs/>
          <w:color w:val="auto"/>
          <w:sz w:val="32"/>
          <w:szCs w:val="32"/>
          <w:highlight w:val="none"/>
        </w:rPr>
        <w:t>十二、</w:t>
      </w:r>
      <w:r>
        <w:rPr>
          <w:rFonts w:hint="eastAsia" w:ascii="黑体" w:hAnsi="黑体" w:eastAsia="黑体" w:cs="黑体"/>
          <w:color w:val="auto"/>
          <w:sz w:val="32"/>
          <w:szCs w:val="32"/>
          <w:highlight w:val="none"/>
        </w:rPr>
        <w:t>关于2025</w:t>
      </w:r>
      <w:r>
        <w:rPr>
          <w:rFonts w:ascii="TimesNewRoman" w:hAnsi="TimesNewRoman" w:eastAsia="黑体" w:cs="TimesNewRoman"/>
          <w:color w:val="auto"/>
          <w:sz w:val="32"/>
          <w:szCs w:val="32"/>
          <w:highlight w:val="none"/>
        </w:rPr>
        <w:t>年通用资产配置支出表的说明</w:t>
      </w:r>
    </w:p>
    <w:p w14:paraId="29D0452A">
      <w:pPr>
        <w:pStyle w:val="4"/>
        <w:adjustRightInd w:val="0"/>
        <w:snapToGrid w:val="0"/>
        <w:spacing w:line="560" w:lineRule="exact"/>
        <w:ind w:firstLine="640" w:firstLineChars="200"/>
        <w:outlineLvl w:val="0"/>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淮北市</w:t>
      </w:r>
      <w:r>
        <w:rPr>
          <w:rFonts w:hint="eastAsia" w:ascii="仿宋" w:hAnsi="仿宋" w:eastAsia="仿宋" w:cs="仿宋"/>
          <w:color w:val="auto"/>
          <w:sz w:val="32"/>
          <w:szCs w:val="32"/>
          <w:highlight w:val="none"/>
          <w:lang w:val="en-US" w:eastAsia="zh-CN"/>
        </w:rPr>
        <w:t>疾病预防控制中心</w:t>
      </w:r>
      <w:r>
        <w:rPr>
          <w:rFonts w:hint="eastAsia" w:ascii="仿宋" w:hAnsi="仿宋" w:eastAsia="仿宋" w:cs="仿宋"/>
          <w:color w:val="auto"/>
          <w:sz w:val="32"/>
          <w:szCs w:val="32"/>
          <w:highlight w:val="none"/>
        </w:rPr>
        <w:t>2025年没有安排通用资产配置支出。</w:t>
      </w:r>
    </w:p>
    <w:p w14:paraId="48556599">
      <w:pPr>
        <w:pStyle w:val="4"/>
        <w:adjustRightInd w:val="0"/>
        <w:snapToGrid w:val="0"/>
        <w:spacing w:line="560" w:lineRule="exact"/>
        <w:ind w:firstLine="627" w:firstLineChars="196"/>
        <w:rPr>
          <w:rFonts w:ascii="TimesNewRoman" w:hAnsi="TimesNewRoman" w:eastAsia="黑体" w:cs="TimesNewRoman"/>
          <w:bCs/>
          <w:color w:val="auto"/>
          <w:sz w:val="32"/>
          <w:szCs w:val="32"/>
          <w:highlight w:val="none"/>
        </w:rPr>
      </w:pPr>
      <w:r>
        <w:rPr>
          <w:rFonts w:hint="eastAsia" w:ascii="TimesNewRoman" w:hAnsi="TimesNewRoman" w:eastAsia="黑体" w:cs="TimesNewRoman"/>
          <w:bCs/>
          <w:color w:val="auto"/>
          <w:sz w:val="32"/>
          <w:szCs w:val="32"/>
          <w:highlight w:val="none"/>
        </w:rPr>
        <w:t>十三、其他重要事项情况说明</w:t>
      </w:r>
    </w:p>
    <w:p w14:paraId="55AEF7BE">
      <w:pPr>
        <w:adjustRightInd w:val="0"/>
        <w:snapToGrid w:val="0"/>
        <w:spacing w:line="580" w:lineRule="exact"/>
        <w:ind w:firstLine="643" w:firstLineChars="200"/>
        <w:rPr>
          <w:rFonts w:ascii="TimesNewRoman" w:hAnsi="TimesNewRoman" w:eastAsia="仿宋_GB2312" w:cs="TimesNewRoman"/>
          <w:b/>
          <w:color w:val="auto"/>
          <w:sz w:val="32"/>
          <w:szCs w:val="32"/>
        </w:rPr>
      </w:pPr>
      <w:r>
        <w:rPr>
          <w:rFonts w:hint="eastAsia" w:ascii="TimesNewRoman" w:hAnsi="TimesNewRoman" w:eastAsia="仿宋_GB2312" w:cs="TimesNewRoman"/>
          <w:b/>
          <w:color w:val="auto"/>
          <w:sz w:val="32"/>
          <w:szCs w:val="32"/>
        </w:rPr>
        <w:t>（一）项目及绩效目标情况。</w:t>
      </w:r>
    </w:p>
    <w:p w14:paraId="43CD4954">
      <w:pPr>
        <w:ind w:firstLine="640" w:firstLineChars="200"/>
        <w:rPr>
          <w:rFonts w:hint="eastAsia" w:ascii="仿宋" w:hAnsi="仿宋" w:eastAsia="仿宋" w:cs="仿宋"/>
          <w:color w:val="auto"/>
          <w:kern w:val="0"/>
          <w:sz w:val="32"/>
          <w:szCs w:val="32"/>
        </w:rPr>
      </w:pPr>
      <w:r>
        <w:rPr>
          <w:rFonts w:hint="eastAsia" w:ascii="仿宋" w:hAnsi="仿宋" w:eastAsia="仿宋" w:cs="仿宋"/>
          <w:color w:val="auto"/>
          <w:kern w:val="0"/>
          <w:sz w:val="32"/>
          <w:szCs w:val="32"/>
        </w:rPr>
        <w:t>1、“疾病预防控制类</w:t>
      </w:r>
      <w:r>
        <w:rPr>
          <w:rFonts w:hint="eastAsia" w:ascii="仿宋" w:hAnsi="仿宋" w:eastAsia="仿宋" w:cs="仿宋"/>
          <w:color w:val="auto"/>
          <w:kern w:val="0"/>
          <w:sz w:val="32"/>
          <w:szCs w:val="32"/>
          <w:lang w:val="en-US" w:eastAsia="zh-CN"/>
        </w:rPr>
        <w:t>项目</w:t>
      </w:r>
      <w:r>
        <w:rPr>
          <w:rFonts w:hint="eastAsia" w:ascii="仿宋" w:hAnsi="仿宋" w:eastAsia="仿宋" w:cs="仿宋"/>
          <w:color w:val="auto"/>
          <w:kern w:val="0"/>
          <w:sz w:val="32"/>
          <w:szCs w:val="32"/>
        </w:rPr>
        <w:t>”项目。</w:t>
      </w:r>
    </w:p>
    <w:p w14:paraId="37F873A4">
      <w:pPr>
        <w:ind w:firstLine="640" w:firstLineChars="200"/>
        <w:rPr>
          <w:rFonts w:hint="eastAsia" w:ascii="仿宋" w:hAnsi="仿宋" w:eastAsia="仿宋" w:cs="仿宋"/>
          <w:color w:val="auto"/>
          <w:kern w:val="0"/>
          <w:sz w:val="32"/>
          <w:szCs w:val="32"/>
          <w:highlight w:val="none"/>
        </w:rPr>
      </w:pPr>
      <w:r>
        <w:rPr>
          <w:rFonts w:hint="eastAsia" w:ascii="仿宋" w:hAnsi="仿宋" w:eastAsia="仿宋" w:cs="仿宋"/>
          <w:color w:val="auto"/>
          <w:kern w:val="0"/>
          <w:sz w:val="32"/>
          <w:szCs w:val="32"/>
        </w:rPr>
        <w:t>（1）项目概述。对各类疾病的预防控制关系到经济发展、社会</w:t>
      </w:r>
      <w:r>
        <w:rPr>
          <w:rFonts w:hint="eastAsia" w:ascii="仿宋" w:hAnsi="仿宋" w:eastAsia="仿宋" w:cs="仿宋"/>
          <w:color w:val="auto"/>
          <w:kern w:val="0"/>
          <w:sz w:val="32"/>
          <w:szCs w:val="32"/>
          <w:highlight w:val="none"/>
        </w:rPr>
        <w:t>稳定、国家安全和民族兴衰，关系到加快发展、富民强市和全面建</w:t>
      </w:r>
      <w:r>
        <w:rPr>
          <w:rFonts w:hint="eastAsia" w:ascii="仿宋" w:hAnsi="仿宋" w:eastAsia="仿宋" w:cs="仿宋"/>
          <w:color w:val="auto"/>
          <w:kern w:val="0"/>
          <w:sz w:val="32"/>
          <w:szCs w:val="32"/>
          <w:highlight w:val="none"/>
          <w:lang w:val="en-US" w:eastAsia="zh-CN"/>
        </w:rPr>
        <w:t>成</w:t>
      </w:r>
      <w:r>
        <w:rPr>
          <w:rFonts w:hint="eastAsia" w:ascii="仿宋" w:hAnsi="仿宋" w:eastAsia="仿宋" w:cs="仿宋"/>
          <w:color w:val="auto"/>
          <w:kern w:val="0"/>
          <w:sz w:val="32"/>
          <w:szCs w:val="32"/>
          <w:highlight w:val="none"/>
        </w:rPr>
        <w:t>小康社会目标的实现。保障计划免疫冷链设备正常运转，确保疫苗安全；控制传染病流行，保障儿童身体健康，节约卫生资源；及时处置传染病疫情，切实阻断重大传染病疫情传播，保障人民身体健康；控制艾滋病、结核病等各类传染病的传播。</w:t>
      </w:r>
    </w:p>
    <w:p w14:paraId="37213DB8">
      <w:pPr>
        <w:ind w:firstLine="640" w:firstLineChars="200"/>
        <w:rPr>
          <w:rFonts w:hint="eastAsia" w:ascii="仿宋" w:hAnsi="仿宋" w:eastAsia="仿宋" w:cs="仿宋"/>
          <w:color w:val="auto"/>
          <w:kern w:val="0"/>
          <w:sz w:val="32"/>
          <w:szCs w:val="32"/>
          <w:highlight w:val="none"/>
        </w:rPr>
      </w:pPr>
      <w:r>
        <w:rPr>
          <w:rFonts w:hint="eastAsia" w:ascii="仿宋" w:hAnsi="仿宋" w:eastAsia="仿宋" w:cs="仿宋"/>
          <w:color w:val="auto"/>
          <w:kern w:val="0"/>
          <w:sz w:val="32"/>
          <w:szCs w:val="32"/>
          <w:highlight w:val="none"/>
        </w:rPr>
        <w:t>（2）立项依据。《中华人民共和国传染病防治法》；《安徽省地方病防治“十二五”规划》；《安徽省人民政府关于做好全民普食碘盐工作的通知》（皖政〔1995〕36号）；《国务院关于进一步加强艾滋病防治工作的通知》（国发〔2010〕48号）；《淮北市人民政府关于切实加强艾滋病防治工作的实施意见》（淮政〔2005〕16号）；《安徽省预防接种管理条例》；《关于做好2011年基本公共卫生服务项目工作的通知》（卫妇社秘〔2011〕411号）《转发卫生部等五部委(局)关于实施扩大国家免去规划的通知》（卫防秘〔2008〕195 号）等文件。</w:t>
      </w:r>
    </w:p>
    <w:p w14:paraId="50795FCE">
      <w:pPr>
        <w:ind w:firstLine="640" w:firstLineChars="200"/>
        <w:rPr>
          <w:rFonts w:hint="eastAsia" w:ascii="仿宋" w:hAnsi="仿宋" w:eastAsia="仿宋" w:cs="仿宋"/>
          <w:color w:val="auto"/>
          <w:kern w:val="0"/>
          <w:sz w:val="32"/>
          <w:szCs w:val="32"/>
          <w:highlight w:val="none"/>
          <w:lang w:eastAsia="zh-CN"/>
        </w:rPr>
      </w:pPr>
      <w:r>
        <w:rPr>
          <w:rFonts w:hint="eastAsia" w:ascii="仿宋" w:hAnsi="仿宋" w:eastAsia="仿宋" w:cs="仿宋"/>
          <w:color w:val="auto"/>
          <w:kern w:val="0"/>
          <w:sz w:val="32"/>
          <w:szCs w:val="32"/>
          <w:highlight w:val="none"/>
        </w:rPr>
        <w:t>（3）实施主体。淮北市疾病预防控制中心</w:t>
      </w:r>
      <w:r>
        <w:rPr>
          <w:rFonts w:hint="eastAsia" w:ascii="仿宋" w:hAnsi="仿宋" w:eastAsia="仿宋" w:cs="仿宋"/>
          <w:color w:val="auto"/>
          <w:kern w:val="0"/>
          <w:sz w:val="32"/>
          <w:szCs w:val="32"/>
          <w:highlight w:val="none"/>
          <w:lang w:eastAsia="zh-CN"/>
        </w:rPr>
        <w:t>。</w:t>
      </w:r>
    </w:p>
    <w:p w14:paraId="3D2F6FFB">
      <w:pPr>
        <w:ind w:firstLine="640" w:firstLineChars="200"/>
        <w:rPr>
          <w:rFonts w:hint="eastAsia" w:ascii="仿宋" w:hAnsi="仿宋" w:eastAsia="仿宋" w:cs="仿宋"/>
          <w:color w:val="auto"/>
          <w:kern w:val="0"/>
          <w:sz w:val="32"/>
          <w:szCs w:val="32"/>
          <w:highlight w:val="none"/>
          <w:lang w:eastAsia="zh-CN"/>
        </w:rPr>
      </w:pPr>
      <w:r>
        <w:rPr>
          <w:rFonts w:hint="eastAsia" w:ascii="仿宋" w:hAnsi="仿宋" w:eastAsia="仿宋" w:cs="仿宋"/>
          <w:color w:val="auto"/>
          <w:kern w:val="0"/>
          <w:sz w:val="32"/>
          <w:szCs w:val="32"/>
          <w:highlight w:val="none"/>
        </w:rPr>
        <w:t>（4）起止时间。202</w:t>
      </w:r>
      <w:r>
        <w:rPr>
          <w:rFonts w:hint="eastAsia" w:ascii="仿宋" w:hAnsi="仿宋" w:eastAsia="仿宋" w:cs="仿宋"/>
          <w:color w:val="auto"/>
          <w:kern w:val="0"/>
          <w:sz w:val="32"/>
          <w:szCs w:val="32"/>
          <w:highlight w:val="none"/>
          <w:lang w:val="en-US" w:eastAsia="zh-CN"/>
        </w:rPr>
        <w:t>5</w:t>
      </w:r>
      <w:r>
        <w:rPr>
          <w:rFonts w:hint="eastAsia" w:ascii="仿宋" w:hAnsi="仿宋" w:eastAsia="仿宋" w:cs="仿宋"/>
          <w:color w:val="auto"/>
          <w:kern w:val="0"/>
          <w:sz w:val="32"/>
          <w:szCs w:val="32"/>
          <w:highlight w:val="none"/>
        </w:rPr>
        <w:t>年1-12月</w:t>
      </w:r>
      <w:r>
        <w:rPr>
          <w:rFonts w:hint="eastAsia" w:ascii="仿宋" w:hAnsi="仿宋" w:eastAsia="仿宋" w:cs="仿宋"/>
          <w:color w:val="auto"/>
          <w:kern w:val="0"/>
          <w:sz w:val="32"/>
          <w:szCs w:val="32"/>
          <w:highlight w:val="none"/>
          <w:lang w:eastAsia="zh-CN"/>
        </w:rPr>
        <w:t>。</w:t>
      </w:r>
    </w:p>
    <w:p w14:paraId="152C7BDD">
      <w:pPr>
        <w:ind w:firstLine="640" w:firstLineChars="200"/>
        <w:rPr>
          <w:rFonts w:hint="eastAsia" w:ascii="仿宋" w:hAnsi="仿宋" w:eastAsia="仿宋" w:cs="仿宋"/>
          <w:color w:val="auto"/>
          <w:kern w:val="0"/>
          <w:sz w:val="32"/>
          <w:szCs w:val="32"/>
          <w:highlight w:val="none"/>
        </w:rPr>
      </w:pPr>
      <w:r>
        <w:rPr>
          <w:rFonts w:hint="eastAsia" w:ascii="仿宋" w:hAnsi="仿宋" w:eastAsia="仿宋" w:cs="仿宋"/>
          <w:color w:val="auto"/>
          <w:kern w:val="0"/>
          <w:sz w:val="32"/>
          <w:szCs w:val="32"/>
          <w:highlight w:val="none"/>
        </w:rPr>
        <w:t>（5）项目内容。</w:t>
      </w:r>
      <w:r>
        <w:rPr>
          <w:rFonts w:hint="eastAsia" w:ascii="仿宋_GB2312" w:eastAsia="仿宋_GB2312"/>
          <w:color w:val="auto"/>
          <w:sz w:val="32"/>
          <w:szCs w:val="32"/>
          <w:highlight w:val="none"/>
        </w:rPr>
        <w:t>对各类疾病的预防控制关系到经济发展、社会稳定、国家安全和民族兴衰，关系到加快发展、富民强市和全面建</w:t>
      </w:r>
      <w:r>
        <w:rPr>
          <w:rFonts w:hint="eastAsia" w:ascii="仿宋_GB2312" w:eastAsia="仿宋_GB2312"/>
          <w:color w:val="auto"/>
          <w:sz w:val="32"/>
          <w:szCs w:val="32"/>
          <w:highlight w:val="none"/>
          <w:lang w:val="en-US" w:eastAsia="zh-CN"/>
        </w:rPr>
        <w:t>成</w:t>
      </w:r>
      <w:r>
        <w:rPr>
          <w:rFonts w:hint="eastAsia" w:ascii="仿宋_GB2312" w:eastAsia="仿宋_GB2312"/>
          <w:color w:val="auto"/>
          <w:sz w:val="32"/>
          <w:szCs w:val="32"/>
          <w:highlight w:val="none"/>
        </w:rPr>
        <w:t>小康社会目标的实现。保障计划免疫冷链设备正常运转，确保疫苗安全；控制传染病流行，保障儿童身体健康，节约卫生资源；及时处置传染病疫情，切实阻断重大传染病疫情传播，保障人民身体健康；控制艾滋病、结核病等各类传染病的传播</w:t>
      </w:r>
      <w:r>
        <w:rPr>
          <w:rFonts w:hint="eastAsia" w:ascii="仿宋" w:hAnsi="仿宋" w:eastAsia="仿宋" w:cs="仿宋"/>
          <w:color w:val="auto"/>
          <w:kern w:val="0"/>
          <w:sz w:val="32"/>
          <w:szCs w:val="32"/>
          <w:highlight w:val="none"/>
        </w:rPr>
        <w:t>。</w:t>
      </w:r>
    </w:p>
    <w:p w14:paraId="6B1EB561">
      <w:pPr>
        <w:ind w:firstLine="640" w:firstLineChars="200"/>
        <w:rPr>
          <w:rFonts w:hint="eastAsia" w:ascii="仿宋" w:hAnsi="仿宋" w:eastAsia="仿宋" w:cs="仿宋"/>
          <w:color w:val="auto"/>
          <w:kern w:val="0"/>
          <w:sz w:val="32"/>
          <w:szCs w:val="32"/>
          <w:highlight w:val="none"/>
          <w:lang w:val="en-US" w:eastAsia="zh-CN"/>
        </w:rPr>
      </w:pPr>
      <w:r>
        <w:rPr>
          <w:rFonts w:hint="eastAsia" w:ascii="仿宋" w:hAnsi="仿宋" w:eastAsia="仿宋" w:cs="仿宋"/>
          <w:color w:val="auto"/>
          <w:kern w:val="0"/>
          <w:sz w:val="32"/>
          <w:szCs w:val="32"/>
          <w:highlight w:val="none"/>
        </w:rPr>
        <w:t>（6）年度预算安排。30万元。</w:t>
      </w:r>
    </w:p>
    <w:p w14:paraId="7F1E9B36">
      <w:pPr>
        <w:ind w:firstLine="640" w:firstLineChars="200"/>
        <w:rPr>
          <w:rFonts w:hint="eastAsia" w:ascii="仿宋" w:hAnsi="仿宋" w:eastAsia="仿宋" w:cs="仿宋"/>
          <w:color w:val="auto"/>
          <w:kern w:val="0"/>
          <w:sz w:val="32"/>
          <w:szCs w:val="32"/>
          <w:highlight w:val="none"/>
        </w:rPr>
      </w:pPr>
      <w:r>
        <w:rPr>
          <w:rFonts w:hint="eastAsia" w:ascii="仿宋" w:hAnsi="仿宋" w:eastAsia="仿宋" w:cs="仿宋"/>
          <w:color w:val="auto"/>
          <w:kern w:val="0"/>
          <w:sz w:val="32"/>
          <w:szCs w:val="32"/>
          <w:highlight w:val="none"/>
        </w:rPr>
        <w:t>（7）绩效目标。对各类疾病的预防控制关系到经济发展、社会稳定、国家安全和民族兴衰，关系到加快发展、富民强市和全面建</w:t>
      </w:r>
      <w:r>
        <w:rPr>
          <w:rFonts w:hint="eastAsia" w:ascii="仿宋" w:hAnsi="仿宋" w:eastAsia="仿宋" w:cs="仿宋"/>
          <w:color w:val="auto"/>
          <w:kern w:val="0"/>
          <w:sz w:val="32"/>
          <w:szCs w:val="32"/>
          <w:highlight w:val="none"/>
          <w:lang w:val="en-US" w:eastAsia="zh-CN"/>
        </w:rPr>
        <w:t>成</w:t>
      </w:r>
      <w:r>
        <w:rPr>
          <w:rFonts w:hint="eastAsia" w:ascii="仿宋" w:hAnsi="仿宋" w:eastAsia="仿宋" w:cs="仿宋"/>
          <w:color w:val="auto"/>
          <w:kern w:val="0"/>
          <w:sz w:val="32"/>
          <w:szCs w:val="32"/>
          <w:highlight w:val="none"/>
        </w:rPr>
        <w:t>小康社会目标的实现。保障计划免疫冷链设备正常运转，确保疫苗安全；控制传染病流行，保障儿童身体健康，节约卫生资源；及时处置传染病疫情，切实阻断重大传染病疫情传播，保障人民身体健康；控制艾滋病、结核病等各类传染病的传播。</w:t>
      </w:r>
    </w:p>
    <w:tbl>
      <w:tblPr>
        <w:tblStyle w:val="5"/>
        <w:tblW w:w="90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38"/>
        <w:gridCol w:w="833"/>
        <w:gridCol w:w="172"/>
        <w:gridCol w:w="1056"/>
        <w:gridCol w:w="3122"/>
        <w:gridCol w:w="1119"/>
        <w:gridCol w:w="2280"/>
      </w:tblGrid>
      <w:tr w14:paraId="551526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3" w:hRule="atLeast"/>
          <w:jc w:val="center"/>
        </w:trPr>
        <w:tc>
          <w:tcPr>
            <w:tcW w:w="9020" w:type="dxa"/>
            <w:gridSpan w:val="7"/>
            <w:tcBorders>
              <w:top w:val="nil"/>
              <w:left w:val="nil"/>
              <w:bottom w:val="nil"/>
              <w:right w:val="nil"/>
            </w:tcBorders>
            <w:vAlign w:val="center"/>
          </w:tcPr>
          <w:p w14:paraId="58933E81">
            <w:pPr>
              <w:widowControl/>
              <w:jc w:val="center"/>
              <w:textAlignment w:val="center"/>
              <w:rPr>
                <w:rFonts w:ascii="宋体" w:cs="宋体"/>
                <w:b/>
                <w:bCs/>
                <w:color w:val="auto"/>
                <w:szCs w:val="32"/>
                <w:highlight w:val="none"/>
              </w:rPr>
            </w:pPr>
            <w:r>
              <w:rPr>
                <w:rFonts w:hint="eastAsia" w:ascii="宋体" w:hAnsi="宋体" w:eastAsia="宋体" w:cs="宋体"/>
                <w:b/>
                <w:color w:val="auto"/>
                <w:kern w:val="0"/>
                <w:sz w:val="28"/>
                <w:szCs w:val="28"/>
                <w:highlight w:val="none"/>
              </w:rPr>
              <w:t>项目支出绩效目标表</w:t>
            </w:r>
          </w:p>
        </w:tc>
      </w:tr>
      <w:tr w14:paraId="599A70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9020" w:type="dxa"/>
            <w:gridSpan w:val="7"/>
            <w:tcBorders>
              <w:top w:val="nil"/>
              <w:left w:val="nil"/>
              <w:right w:val="nil"/>
            </w:tcBorders>
            <w:vAlign w:val="center"/>
          </w:tcPr>
          <w:p w14:paraId="50972FFC">
            <w:pPr>
              <w:widowControl/>
              <w:jc w:val="center"/>
              <w:textAlignment w:val="center"/>
              <w:rPr>
                <w:rFonts w:ascii="宋体" w:cs="宋体"/>
                <w:color w:val="auto"/>
                <w:sz w:val="20"/>
                <w:highlight w:val="none"/>
              </w:rPr>
            </w:pPr>
            <w:r>
              <w:rPr>
                <w:rFonts w:hint="eastAsia" w:ascii="宋体" w:hAnsi="宋体" w:eastAsia="宋体" w:cs="宋体"/>
                <w:color w:val="auto"/>
                <w:kern w:val="0"/>
                <w:sz w:val="20"/>
                <w:szCs w:val="20"/>
                <w:highlight w:val="none"/>
              </w:rPr>
              <w:t xml:space="preserve"> （2025年度）                                </w:t>
            </w:r>
          </w:p>
        </w:tc>
      </w:tr>
      <w:tr w14:paraId="0A9E89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jc w:val="center"/>
        </w:trPr>
        <w:tc>
          <w:tcPr>
            <w:tcW w:w="1443" w:type="dxa"/>
            <w:gridSpan w:val="3"/>
            <w:tcBorders>
              <w:tl2br w:val="nil"/>
              <w:tr2bl w:val="nil"/>
            </w:tcBorders>
            <w:vAlign w:val="center"/>
          </w:tcPr>
          <w:p w14:paraId="155D91B9">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ascii="宋体" w:cs="宋体"/>
                <w:color w:val="auto"/>
                <w:kern w:val="0"/>
                <w:sz w:val="20"/>
                <w:szCs w:val="20"/>
                <w:highlight w:val="none"/>
              </w:rPr>
            </w:pPr>
            <w:r>
              <w:rPr>
                <w:rFonts w:hint="eastAsia" w:ascii="宋体" w:hAnsi="宋体" w:eastAsia="宋体" w:cs="宋体"/>
                <w:color w:val="auto"/>
                <w:kern w:val="0"/>
                <w:sz w:val="20"/>
                <w:szCs w:val="20"/>
                <w:highlight w:val="none"/>
              </w:rPr>
              <w:t>项目名称</w:t>
            </w:r>
          </w:p>
        </w:tc>
        <w:tc>
          <w:tcPr>
            <w:tcW w:w="7577" w:type="dxa"/>
            <w:gridSpan w:val="4"/>
            <w:tcBorders>
              <w:tl2br w:val="nil"/>
              <w:tr2bl w:val="nil"/>
            </w:tcBorders>
            <w:vAlign w:val="center"/>
          </w:tcPr>
          <w:p w14:paraId="546CB426">
            <w:pPr>
              <w:keepNext w:val="0"/>
              <w:keepLines w:val="0"/>
              <w:pageBreakBefore w:val="0"/>
              <w:kinsoku/>
              <w:wordWrap/>
              <w:overflowPunct/>
              <w:topLinePunct w:val="0"/>
              <w:autoSpaceDE/>
              <w:autoSpaceDN/>
              <w:bidi w:val="0"/>
              <w:adjustRightInd/>
              <w:snapToGrid/>
              <w:spacing w:line="240" w:lineRule="auto"/>
              <w:jc w:val="center"/>
              <w:rPr>
                <w:rFonts w:ascii="宋体" w:cs="宋体"/>
                <w:color w:val="auto"/>
                <w:kern w:val="0"/>
                <w:sz w:val="20"/>
                <w:szCs w:val="20"/>
                <w:highlight w:val="none"/>
              </w:rPr>
            </w:pPr>
            <w:r>
              <w:rPr>
                <w:rFonts w:hint="eastAsia" w:ascii="宋体" w:hAnsi="宋体" w:eastAsia="宋体" w:cs="宋体"/>
                <w:color w:val="auto"/>
                <w:kern w:val="0"/>
                <w:sz w:val="20"/>
                <w:szCs w:val="20"/>
                <w:highlight w:val="none"/>
              </w:rPr>
              <w:t>疾病预防控制类项目</w:t>
            </w:r>
          </w:p>
        </w:tc>
      </w:tr>
      <w:tr w14:paraId="608ABD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1" w:hRule="atLeast"/>
          <w:jc w:val="center"/>
        </w:trPr>
        <w:tc>
          <w:tcPr>
            <w:tcW w:w="1443" w:type="dxa"/>
            <w:gridSpan w:val="3"/>
            <w:tcBorders>
              <w:tl2br w:val="nil"/>
              <w:tr2bl w:val="nil"/>
            </w:tcBorders>
            <w:vAlign w:val="center"/>
          </w:tcPr>
          <w:p w14:paraId="0A91DFF2">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ascii="宋体" w:cs="宋体"/>
                <w:color w:val="auto"/>
                <w:kern w:val="0"/>
                <w:sz w:val="20"/>
                <w:szCs w:val="20"/>
                <w:highlight w:val="none"/>
              </w:rPr>
            </w:pPr>
            <w:r>
              <w:rPr>
                <w:rFonts w:hint="eastAsia" w:ascii="宋体" w:hAnsi="宋体" w:eastAsia="宋体" w:cs="宋体"/>
                <w:color w:val="auto"/>
                <w:kern w:val="0"/>
                <w:sz w:val="20"/>
                <w:szCs w:val="20"/>
                <w:highlight w:val="none"/>
              </w:rPr>
              <w:t>主管部门   及代码</w:t>
            </w:r>
          </w:p>
        </w:tc>
        <w:tc>
          <w:tcPr>
            <w:tcW w:w="4178" w:type="dxa"/>
            <w:gridSpan w:val="2"/>
            <w:tcBorders>
              <w:tl2br w:val="nil"/>
              <w:tr2bl w:val="nil"/>
            </w:tcBorders>
            <w:vAlign w:val="center"/>
          </w:tcPr>
          <w:p w14:paraId="619E95CD">
            <w:pPr>
              <w:keepNext w:val="0"/>
              <w:keepLines w:val="0"/>
              <w:pageBreakBefore w:val="0"/>
              <w:kinsoku/>
              <w:wordWrap/>
              <w:overflowPunct/>
              <w:topLinePunct w:val="0"/>
              <w:autoSpaceDE/>
              <w:autoSpaceDN/>
              <w:bidi w:val="0"/>
              <w:adjustRightInd/>
              <w:snapToGrid/>
              <w:spacing w:line="240" w:lineRule="auto"/>
              <w:jc w:val="center"/>
              <w:rPr>
                <w:rFonts w:ascii="宋体" w:cs="宋体"/>
                <w:color w:val="auto"/>
                <w:kern w:val="0"/>
                <w:sz w:val="20"/>
                <w:szCs w:val="20"/>
                <w:highlight w:val="none"/>
              </w:rPr>
            </w:pPr>
            <w:r>
              <w:rPr>
                <w:rFonts w:hint="eastAsia" w:ascii="宋体" w:hAnsi="宋体" w:eastAsia="宋体" w:cs="宋体"/>
                <w:color w:val="auto"/>
                <w:kern w:val="0"/>
                <w:sz w:val="20"/>
                <w:szCs w:val="20"/>
                <w:highlight w:val="none"/>
              </w:rPr>
              <w:t>[076]淮北市卫生健康委员会</w:t>
            </w:r>
          </w:p>
        </w:tc>
        <w:tc>
          <w:tcPr>
            <w:tcW w:w="1119" w:type="dxa"/>
            <w:tcBorders>
              <w:tl2br w:val="nil"/>
              <w:tr2bl w:val="nil"/>
            </w:tcBorders>
            <w:vAlign w:val="center"/>
          </w:tcPr>
          <w:p w14:paraId="6D214D21">
            <w:pPr>
              <w:keepNext w:val="0"/>
              <w:keepLines w:val="0"/>
              <w:pageBreakBefore w:val="0"/>
              <w:widowControl/>
              <w:kinsoku/>
              <w:wordWrap/>
              <w:overflowPunct/>
              <w:topLinePunct w:val="0"/>
              <w:autoSpaceDE/>
              <w:autoSpaceDN/>
              <w:bidi w:val="0"/>
              <w:adjustRightInd/>
              <w:snapToGrid/>
              <w:spacing w:line="240" w:lineRule="auto"/>
              <w:jc w:val="center"/>
              <w:textAlignment w:val="center"/>
              <w:rPr>
                <w:color w:val="auto"/>
                <w:kern w:val="0"/>
                <w:sz w:val="20"/>
                <w:szCs w:val="20"/>
                <w:highlight w:val="none"/>
              </w:rPr>
            </w:pPr>
            <w:r>
              <w:rPr>
                <w:rFonts w:hint="eastAsia" w:ascii="宋体" w:hAnsi="宋体" w:eastAsia="宋体" w:cs="宋体"/>
                <w:color w:val="auto"/>
                <w:kern w:val="0"/>
                <w:sz w:val="20"/>
                <w:szCs w:val="20"/>
                <w:highlight w:val="none"/>
              </w:rPr>
              <w:t>实施单位</w:t>
            </w:r>
          </w:p>
        </w:tc>
        <w:tc>
          <w:tcPr>
            <w:tcW w:w="2280" w:type="dxa"/>
            <w:tcBorders>
              <w:tl2br w:val="nil"/>
              <w:tr2bl w:val="nil"/>
            </w:tcBorders>
            <w:shd w:val="clear" w:color="auto" w:fill="auto"/>
            <w:vAlign w:val="center"/>
          </w:tcPr>
          <w:p w14:paraId="33223668">
            <w:pPr>
              <w:keepNext w:val="0"/>
              <w:keepLines w:val="0"/>
              <w:pageBreakBefore w:val="0"/>
              <w:widowControl/>
              <w:kinsoku/>
              <w:wordWrap/>
              <w:overflowPunct/>
              <w:topLinePunct w:val="0"/>
              <w:autoSpaceDE/>
              <w:autoSpaceDN/>
              <w:bidi w:val="0"/>
              <w:adjustRightInd/>
              <w:snapToGrid/>
              <w:spacing w:line="240" w:lineRule="auto"/>
              <w:jc w:val="center"/>
              <w:rPr>
                <w:rFonts w:ascii="宋体" w:hAnsi="宋体" w:eastAsia="宋体" w:cs="宋体"/>
                <w:color w:val="auto"/>
                <w:kern w:val="0"/>
                <w:sz w:val="20"/>
                <w:szCs w:val="20"/>
                <w:highlight w:val="none"/>
                <w:lang w:val="en-US" w:eastAsia="zh-CN" w:bidi="ar-SA"/>
              </w:rPr>
            </w:pPr>
            <w:r>
              <w:rPr>
                <w:rFonts w:hint="eastAsia" w:ascii="宋体" w:hAnsi="宋体" w:eastAsia="宋体" w:cs="宋体"/>
                <w:color w:val="auto"/>
                <w:kern w:val="0"/>
                <w:sz w:val="20"/>
                <w:szCs w:val="20"/>
                <w:highlight w:val="none"/>
              </w:rPr>
              <w:t>淮北市疾病预防控制中心</w:t>
            </w:r>
          </w:p>
        </w:tc>
      </w:tr>
      <w:tr w14:paraId="3B8C95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jc w:val="center"/>
        </w:trPr>
        <w:tc>
          <w:tcPr>
            <w:tcW w:w="1443" w:type="dxa"/>
            <w:gridSpan w:val="3"/>
            <w:tcBorders>
              <w:tl2br w:val="nil"/>
              <w:tr2bl w:val="nil"/>
            </w:tcBorders>
            <w:vAlign w:val="center"/>
          </w:tcPr>
          <w:p w14:paraId="4AD15F83">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ascii="宋体" w:cs="宋体"/>
                <w:color w:val="auto"/>
                <w:kern w:val="0"/>
                <w:sz w:val="20"/>
                <w:szCs w:val="20"/>
                <w:highlight w:val="none"/>
              </w:rPr>
            </w:pPr>
            <w:r>
              <w:rPr>
                <w:rFonts w:hint="eastAsia" w:ascii="宋体" w:hAnsi="宋体" w:eastAsia="宋体" w:cs="宋体"/>
                <w:color w:val="auto"/>
                <w:kern w:val="0"/>
                <w:sz w:val="20"/>
                <w:szCs w:val="20"/>
                <w:highlight w:val="none"/>
              </w:rPr>
              <w:t>项目来源</w:t>
            </w:r>
          </w:p>
        </w:tc>
        <w:tc>
          <w:tcPr>
            <w:tcW w:w="4178" w:type="dxa"/>
            <w:gridSpan w:val="2"/>
            <w:tcBorders>
              <w:tl2br w:val="nil"/>
              <w:tr2bl w:val="nil"/>
            </w:tcBorders>
            <w:vAlign w:val="center"/>
          </w:tcPr>
          <w:p w14:paraId="21F48F76">
            <w:pPr>
              <w:keepNext w:val="0"/>
              <w:keepLines w:val="0"/>
              <w:pageBreakBefore w:val="0"/>
              <w:kinsoku/>
              <w:wordWrap/>
              <w:overflowPunct/>
              <w:topLinePunct w:val="0"/>
              <w:autoSpaceDE/>
              <w:autoSpaceDN/>
              <w:bidi w:val="0"/>
              <w:adjustRightInd/>
              <w:snapToGrid/>
              <w:spacing w:line="240" w:lineRule="auto"/>
              <w:jc w:val="center"/>
              <w:rPr>
                <w:rFonts w:ascii="宋体" w:cs="宋体"/>
                <w:color w:val="auto"/>
                <w:kern w:val="0"/>
                <w:sz w:val="20"/>
                <w:szCs w:val="20"/>
                <w:highlight w:val="none"/>
              </w:rPr>
            </w:pPr>
          </w:p>
        </w:tc>
        <w:tc>
          <w:tcPr>
            <w:tcW w:w="1119" w:type="dxa"/>
            <w:tcBorders>
              <w:tl2br w:val="nil"/>
              <w:tr2bl w:val="nil"/>
            </w:tcBorders>
            <w:vAlign w:val="center"/>
          </w:tcPr>
          <w:p w14:paraId="0DBB6893">
            <w:pPr>
              <w:keepNext w:val="0"/>
              <w:keepLines w:val="0"/>
              <w:pageBreakBefore w:val="0"/>
              <w:widowControl/>
              <w:kinsoku/>
              <w:wordWrap/>
              <w:overflowPunct/>
              <w:topLinePunct w:val="0"/>
              <w:autoSpaceDE/>
              <w:autoSpaceDN/>
              <w:bidi w:val="0"/>
              <w:adjustRightInd/>
              <w:snapToGrid/>
              <w:spacing w:line="240" w:lineRule="auto"/>
              <w:jc w:val="center"/>
              <w:textAlignment w:val="center"/>
              <w:rPr>
                <w:color w:val="auto"/>
                <w:kern w:val="0"/>
                <w:sz w:val="20"/>
                <w:szCs w:val="20"/>
                <w:highlight w:val="none"/>
              </w:rPr>
            </w:pPr>
            <w:r>
              <w:rPr>
                <w:rFonts w:hint="eastAsia" w:ascii="宋体" w:hAnsi="宋体" w:eastAsia="宋体" w:cs="宋体"/>
                <w:color w:val="auto"/>
                <w:kern w:val="0"/>
                <w:sz w:val="20"/>
                <w:szCs w:val="20"/>
                <w:highlight w:val="none"/>
              </w:rPr>
              <w:t>项目期</w:t>
            </w:r>
          </w:p>
        </w:tc>
        <w:tc>
          <w:tcPr>
            <w:tcW w:w="2280" w:type="dxa"/>
            <w:tcBorders>
              <w:tl2br w:val="nil"/>
              <w:tr2bl w:val="nil"/>
            </w:tcBorders>
            <w:shd w:val="clear" w:color="auto" w:fill="auto"/>
            <w:vAlign w:val="center"/>
          </w:tcPr>
          <w:p w14:paraId="70CC83E5">
            <w:pPr>
              <w:keepNext w:val="0"/>
              <w:keepLines w:val="0"/>
              <w:pageBreakBefore w:val="0"/>
              <w:widowControl/>
              <w:kinsoku/>
              <w:wordWrap/>
              <w:overflowPunct/>
              <w:topLinePunct w:val="0"/>
              <w:autoSpaceDE/>
              <w:autoSpaceDN/>
              <w:bidi w:val="0"/>
              <w:adjustRightInd/>
              <w:snapToGrid/>
              <w:spacing w:line="240" w:lineRule="auto"/>
              <w:jc w:val="center"/>
              <w:rPr>
                <w:rFonts w:ascii="宋体" w:hAnsi="宋体" w:eastAsia="宋体" w:cs="宋体"/>
                <w:color w:val="auto"/>
                <w:kern w:val="0"/>
                <w:sz w:val="20"/>
                <w:szCs w:val="20"/>
                <w:highlight w:val="none"/>
                <w:lang w:val="en-US" w:eastAsia="zh-CN" w:bidi="ar-SA"/>
              </w:rPr>
            </w:pPr>
            <w:r>
              <w:rPr>
                <w:rFonts w:hint="eastAsia" w:ascii="宋体" w:hAnsi="宋体" w:eastAsia="宋体" w:cs="宋体"/>
                <w:color w:val="auto"/>
                <w:kern w:val="0"/>
                <w:sz w:val="20"/>
                <w:szCs w:val="20"/>
                <w:highlight w:val="none"/>
              </w:rPr>
              <w:t>1年</w:t>
            </w:r>
          </w:p>
        </w:tc>
      </w:tr>
      <w:tr w14:paraId="736BBA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jc w:val="center"/>
        </w:trPr>
        <w:tc>
          <w:tcPr>
            <w:tcW w:w="1443" w:type="dxa"/>
            <w:gridSpan w:val="3"/>
            <w:vMerge w:val="restart"/>
            <w:tcBorders>
              <w:tl2br w:val="nil"/>
              <w:tr2bl w:val="nil"/>
            </w:tcBorders>
            <w:vAlign w:val="center"/>
          </w:tcPr>
          <w:p w14:paraId="4A9C8D34">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ascii="宋体" w:cs="宋体"/>
                <w:color w:val="auto"/>
                <w:kern w:val="0"/>
                <w:sz w:val="20"/>
                <w:szCs w:val="20"/>
                <w:highlight w:val="none"/>
              </w:rPr>
            </w:pPr>
            <w:r>
              <w:rPr>
                <w:rFonts w:hint="eastAsia" w:ascii="宋体" w:hAnsi="宋体" w:eastAsia="宋体" w:cs="宋体"/>
                <w:color w:val="auto"/>
                <w:kern w:val="0"/>
                <w:sz w:val="20"/>
                <w:szCs w:val="20"/>
                <w:highlight w:val="none"/>
              </w:rPr>
              <w:t>项目资金</w:t>
            </w:r>
            <w:r>
              <w:rPr>
                <w:rFonts w:hint="eastAsia" w:ascii="宋体" w:hAnsi="宋体" w:eastAsia="宋体" w:cs="宋体"/>
                <w:color w:val="auto"/>
                <w:kern w:val="0"/>
                <w:sz w:val="20"/>
                <w:szCs w:val="20"/>
                <w:highlight w:val="none"/>
              </w:rPr>
              <w:br w:type="textWrapping"/>
            </w:r>
            <w:r>
              <w:rPr>
                <w:rFonts w:hint="eastAsia" w:ascii="宋体" w:hAnsi="宋体" w:eastAsia="宋体" w:cs="宋体"/>
                <w:color w:val="auto"/>
                <w:kern w:val="0"/>
                <w:sz w:val="20"/>
                <w:szCs w:val="20"/>
                <w:highlight w:val="none"/>
              </w:rPr>
              <w:t>（万元）</w:t>
            </w:r>
          </w:p>
        </w:tc>
        <w:tc>
          <w:tcPr>
            <w:tcW w:w="4178" w:type="dxa"/>
            <w:gridSpan w:val="2"/>
            <w:tcBorders>
              <w:tl2br w:val="nil"/>
              <w:tr2bl w:val="nil"/>
            </w:tcBorders>
            <w:vAlign w:val="center"/>
          </w:tcPr>
          <w:p w14:paraId="0EFB0CEC">
            <w:pPr>
              <w:keepNext w:val="0"/>
              <w:keepLines w:val="0"/>
              <w:pageBreakBefore w:val="0"/>
              <w:widowControl/>
              <w:kinsoku/>
              <w:wordWrap/>
              <w:overflowPunct/>
              <w:topLinePunct w:val="0"/>
              <w:autoSpaceDE/>
              <w:autoSpaceDN/>
              <w:bidi w:val="0"/>
              <w:adjustRightInd/>
              <w:snapToGrid/>
              <w:spacing w:line="240" w:lineRule="auto"/>
              <w:jc w:val="left"/>
              <w:textAlignment w:val="center"/>
              <w:rPr>
                <w:rFonts w:ascii="宋体" w:cs="宋体"/>
                <w:color w:val="auto"/>
                <w:kern w:val="0"/>
                <w:sz w:val="20"/>
                <w:szCs w:val="20"/>
                <w:highlight w:val="none"/>
              </w:rPr>
            </w:pPr>
            <w:r>
              <w:rPr>
                <w:rFonts w:hint="eastAsia" w:ascii="宋体" w:hAnsi="宋体" w:eastAsia="宋体" w:cs="宋体"/>
                <w:color w:val="auto"/>
                <w:kern w:val="0"/>
                <w:sz w:val="20"/>
                <w:szCs w:val="20"/>
                <w:highlight w:val="none"/>
              </w:rPr>
              <w:t xml:space="preserve"> 年度资金总额：</w:t>
            </w:r>
          </w:p>
        </w:tc>
        <w:tc>
          <w:tcPr>
            <w:tcW w:w="3399" w:type="dxa"/>
            <w:gridSpan w:val="2"/>
            <w:tcBorders>
              <w:tl2br w:val="nil"/>
              <w:tr2bl w:val="nil"/>
            </w:tcBorders>
            <w:shd w:val="clear" w:color="auto" w:fill="auto"/>
            <w:vAlign w:val="center"/>
          </w:tcPr>
          <w:p w14:paraId="2656C9AC">
            <w:pPr>
              <w:keepNext w:val="0"/>
              <w:keepLines w:val="0"/>
              <w:pageBreakBefore w:val="0"/>
              <w:widowControl/>
              <w:kinsoku/>
              <w:wordWrap/>
              <w:overflowPunct/>
              <w:topLinePunct w:val="0"/>
              <w:autoSpaceDE/>
              <w:autoSpaceDN/>
              <w:bidi w:val="0"/>
              <w:adjustRightInd/>
              <w:snapToGrid/>
              <w:spacing w:line="240" w:lineRule="auto"/>
              <w:jc w:val="right"/>
              <w:rPr>
                <w:rFonts w:ascii="宋体" w:hAnsi="宋体" w:eastAsia="宋体" w:cs="宋体"/>
                <w:color w:val="auto"/>
                <w:kern w:val="0"/>
                <w:sz w:val="20"/>
                <w:szCs w:val="20"/>
                <w:highlight w:val="none"/>
                <w:lang w:val="en-US" w:eastAsia="zh-CN" w:bidi="ar-SA"/>
              </w:rPr>
            </w:pPr>
            <w:r>
              <w:rPr>
                <w:rFonts w:hint="eastAsia" w:ascii="宋体" w:hAnsi="宋体" w:eastAsia="宋体" w:cs="宋体"/>
                <w:color w:val="auto"/>
                <w:kern w:val="0"/>
                <w:sz w:val="20"/>
                <w:szCs w:val="20"/>
                <w:highlight w:val="none"/>
              </w:rPr>
              <w:t xml:space="preserve">      30.00 </w:t>
            </w:r>
          </w:p>
        </w:tc>
      </w:tr>
      <w:tr w14:paraId="043095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jc w:val="center"/>
        </w:trPr>
        <w:tc>
          <w:tcPr>
            <w:tcW w:w="1443" w:type="dxa"/>
            <w:gridSpan w:val="3"/>
            <w:vMerge w:val="continue"/>
            <w:tcBorders>
              <w:tl2br w:val="nil"/>
              <w:tr2bl w:val="nil"/>
            </w:tcBorders>
            <w:vAlign w:val="center"/>
          </w:tcPr>
          <w:p w14:paraId="0ED4FE54">
            <w:pPr>
              <w:keepNext w:val="0"/>
              <w:keepLines w:val="0"/>
              <w:pageBreakBefore w:val="0"/>
              <w:kinsoku/>
              <w:wordWrap/>
              <w:overflowPunct/>
              <w:topLinePunct w:val="0"/>
              <w:autoSpaceDE/>
              <w:autoSpaceDN/>
              <w:bidi w:val="0"/>
              <w:adjustRightInd/>
              <w:snapToGrid/>
              <w:spacing w:line="240" w:lineRule="auto"/>
              <w:jc w:val="center"/>
              <w:rPr>
                <w:rFonts w:ascii="宋体" w:cs="宋体"/>
                <w:color w:val="auto"/>
                <w:kern w:val="0"/>
                <w:sz w:val="20"/>
                <w:szCs w:val="20"/>
                <w:highlight w:val="none"/>
              </w:rPr>
            </w:pPr>
          </w:p>
        </w:tc>
        <w:tc>
          <w:tcPr>
            <w:tcW w:w="4178" w:type="dxa"/>
            <w:gridSpan w:val="2"/>
            <w:tcBorders>
              <w:tl2br w:val="nil"/>
              <w:tr2bl w:val="nil"/>
            </w:tcBorders>
            <w:vAlign w:val="center"/>
          </w:tcPr>
          <w:p w14:paraId="46F859B3">
            <w:pPr>
              <w:keepNext w:val="0"/>
              <w:keepLines w:val="0"/>
              <w:pageBreakBefore w:val="0"/>
              <w:widowControl/>
              <w:kinsoku/>
              <w:wordWrap/>
              <w:overflowPunct/>
              <w:topLinePunct w:val="0"/>
              <w:autoSpaceDE/>
              <w:autoSpaceDN/>
              <w:bidi w:val="0"/>
              <w:adjustRightInd/>
              <w:snapToGrid/>
              <w:spacing w:line="240" w:lineRule="auto"/>
              <w:jc w:val="left"/>
              <w:textAlignment w:val="center"/>
              <w:rPr>
                <w:rFonts w:ascii="宋体" w:cs="宋体"/>
                <w:color w:val="auto"/>
                <w:kern w:val="0"/>
                <w:sz w:val="20"/>
                <w:szCs w:val="20"/>
                <w:highlight w:val="none"/>
              </w:rPr>
            </w:pPr>
            <w:r>
              <w:rPr>
                <w:rFonts w:hint="eastAsia" w:ascii="宋体" w:hAnsi="宋体" w:eastAsia="宋体" w:cs="宋体"/>
                <w:color w:val="auto"/>
                <w:kern w:val="0"/>
                <w:sz w:val="20"/>
                <w:szCs w:val="20"/>
                <w:highlight w:val="none"/>
              </w:rPr>
              <w:t xml:space="preserve">   其中：财政拨款</w:t>
            </w:r>
          </w:p>
        </w:tc>
        <w:tc>
          <w:tcPr>
            <w:tcW w:w="3399" w:type="dxa"/>
            <w:gridSpan w:val="2"/>
            <w:tcBorders>
              <w:tl2br w:val="nil"/>
              <w:tr2bl w:val="nil"/>
            </w:tcBorders>
            <w:shd w:val="clear" w:color="auto" w:fill="auto"/>
            <w:vAlign w:val="center"/>
          </w:tcPr>
          <w:p w14:paraId="07A618C4">
            <w:pPr>
              <w:keepNext w:val="0"/>
              <w:keepLines w:val="0"/>
              <w:pageBreakBefore w:val="0"/>
              <w:widowControl/>
              <w:kinsoku/>
              <w:wordWrap/>
              <w:overflowPunct/>
              <w:topLinePunct w:val="0"/>
              <w:autoSpaceDE/>
              <w:autoSpaceDN/>
              <w:bidi w:val="0"/>
              <w:adjustRightInd/>
              <w:snapToGrid/>
              <w:spacing w:line="240" w:lineRule="auto"/>
              <w:jc w:val="right"/>
              <w:rPr>
                <w:rFonts w:ascii="宋体" w:hAnsi="宋体" w:eastAsia="宋体" w:cs="宋体"/>
                <w:color w:val="auto"/>
                <w:kern w:val="0"/>
                <w:sz w:val="20"/>
                <w:szCs w:val="20"/>
                <w:highlight w:val="none"/>
                <w:lang w:val="en-US" w:eastAsia="zh-CN" w:bidi="ar-SA"/>
              </w:rPr>
            </w:pPr>
            <w:r>
              <w:rPr>
                <w:rFonts w:hint="eastAsia" w:ascii="宋体" w:hAnsi="宋体" w:eastAsia="宋体" w:cs="宋体"/>
                <w:color w:val="auto"/>
                <w:kern w:val="0"/>
                <w:sz w:val="20"/>
                <w:szCs w:val="20"/>
                <w:highlight w:val="none"/>
              </w:rPr>
              <w:t xml:space="preserve">      30.00 </w:t>
            </w:r>
          </w:p>
        </w:tc>
      </w:tr>
      <w:tr w14:paraId="4DE3AE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jc w:val="center"/>
        </w:trPr>
        <w:tc>
          <w:tcPr>
            <w:tcW w:w="1443" w:type="dxa"/>
            <w:gridSpan w:val="3"/>
            <w:vMerge w:val="continue"/>
            <w:tcBorders>
              <w:tl2br w:val="nil"/>
              <w:tr2bl w:val="nil"/>
            </w:tcBorders>
            <w:vAlign w:val="center"/>
          </w:tcPr>
          <w:p w14:paraId="270BDA29">
            <w:pPr>
              <w:keepNext w:val="0"/>
              <w:keepLines w:val="0"/>
              <w:pageBreakBefore w:val="0"/>
              <w:kinsoku/>
              <w:wordWrap/>
              <w:overflowPunct/>
              <w:topLinePunct w:val="0"/>
              <w:autoSpaceDE/>
              <w:autoSpaceDN/>
              <w:bidi w:val="0"/>
              <w:adjustRightInd/>
              <w:snapToGrid/>
              <w:spacing w:line="240" w:lineRule="auto"/>
              <w:jc w:val="center"/>
              <w:rPr>
                <w:rFonts w:ascii="宋体" w:cs="宋体"/>
                <w:color w:val="auto"/>
                <w:kern w:val="0"/>
                <w:sz w:val="20"/>
                <w:szCs w:val="20"/>
                <w:highlight w:val="none"/>
              </w:rPr>
            </w:pPr>
          </w:p>
        </w:tc>
        <w:tc>
          <w:tcPr>
            <w:tcW w:w="4178" w:type="dxa"/>
            <w:gridSpan w:val="2"/>
            <w:tcBorders>
              <w:tl2br w:val="nil"/>
              <w:tr2bl w:val="nil"/>
            </w:tcBorders>
            <w:vAlign w:val="center"/>
          </w:tcPr>
          <w:p w14:paraId="4E9717DD">
            <w:pPr>
              <w:keepNext w:val="0"/>
              <w:keepLines w:val="0"/>
              <w:pageBreakBefore w:val="0"/>
              <w:widowControl/>
              <w:kinsoku/>
              <w:wordWrap/>
              <w:overflowPunct/>
              <w:topLinePunct w:val="0"/>
              <w:autoSpaceDE/>
              <w:autoSpaceDN/>
              <w:bidi w:val="0"/>
              <w:adjustRightInd/>
              <w:snapToGrid/>
              <w:spacing w:line="240" w:lineRule="auto"/>
              <w:jc w:val="left"/>
              <w:textAlignment w:val="center"/>
              <w:rPr>
                <w:rFonts w:ascii="宋体" w:cs="宋体"/>
                <w:color w:val="auto"/>
                <w:kern w:val="0"/>
                <w:sz w:val="20"/>
                <w:szCs w:val="20"/>
                <w:highlight w:val="none"/>
              </w:rPr>
            </w:pPr>
            <w:r>
              <w:rPr>
                <w:rFonts w:hint="eastAsia" w:ascii="宋体" w:hAnsi="宋体" w:eastAsia="宋体" w:cs="宋体"/>
                <w:color w:val="auto"/>
                <w:kern w:val="0"/>
                <w:sz w:val="20"/>
                <w:szCs w:val="20"/>
                <w:highlight w:val="none"/>
              </w:rPr>
              <w:t xml:space="preserve">         上年结转</w:t>
            </w:r>
          </w:p>
        </w:tc>
        <w:tc>
          <w:tcPr>
            <w:tcW w:w="3399" w:type="dxa"/>
            <w:gridSpan w:val="2"/>
            <w:tcBorders>
              <w:tl2br w:val="nil"/>
              <w:tr2bl w:val="nil"/>
            </w:tcBorders>
            <w:shd w:val="clear" w:color="auto" w:fill="auto"/>
            <w:vAlign w:val="center"/>
          </w:tcPr>
          <w:p w14:paraId="44DB6FFA">
            <w:pPr>
              <w:keepNext w:val="0"/>
              <w:keepLines w:val="0"/>
              <w:pageBreakBefore w:val="0"/>
              <w:widowControl/>
              <w:kinsoku/>
              <w:wordWrap/>
              <w:overflowPunct/>
              <w:topLinePunct w:val="0"/>
              <w:autoSpaceDE/>
              <w:autoSpaceDN/>
              <w:bidi w:val="0"/>
              <w:adjustRightInd/>
              <w:snapToGrid/>
              <w:spacing w:line="240" w:lineRule="auto"/>
              <w:jc w:val="right"/>
              <w:rPr>
                <w:rFonts w:ascii="宋体" w:hAnsi="宋体" w:eastAsia="宋体" w:cs="宋体"/>
                <w:color w:val="auto"/>
                <w:kern w:val="0"/>
                <w:sz w:val="20"/>
                <w:szCs w:val="20"/>
                <w:highlight w:val="none"/>
                <w:lang w:val="en-US" w:eastAsia="zh-CN" w:bidi="ar-SA"/>
              </w:rPr>
            </w:pPr>
            <w:r>
              <w:rPr>
                <w:rFonts w:hint="eastAsia" w:ascii="宋体" w:hAnsi="宋体" w:eastAsia="宋体" w:cs="宋体"/>
                <w:color w:val="auto"/>
                <w:kern w:val="0"/>
                <w:sz w:val="20"/>
                <w:szCs w:val="20"/>
                <w:highlight w:val="none"/>
              </w:rPr>
              <w:t xml:space="preserve">      0.00 </w:t>
            </w:r>
          </w:p>
        </w:tc>
      </w:tr>
      <w:tr w14:paraId="683E28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jc w:val="center"/>
        </w:trPr>
        <w:tc>
          <w:tcPr>
            <w:tcW w:w="1443" w:type="dxa"/>
            <w:gridSpan w:val="3"/>
            <w:vMerge w:val="continue"/>
            <w:tcBorders>
              <w:tl2br w:val="nil"/>
              <w:tr2bl w:val="nil"/>
            </w:tcBorders>
            <w:vAlign w:val="center"/>
          </w:tcPr>
          <w:p w14:paraId="33D0043F">
            <w:pPr>
              <w:keepNext w:val="0"/>
              <w:keepLines w:val="0"/>
              <w:pageBreakBefore w:val="0"/>
              <w:kinsoku/>
              <w:wordWrap/>
              <w:overflowPunct/>
              <w:topLinePunct w:val="0"/>
              <w:autoSpaceDE/>
              <w:autoSpaceDN/>
              <w:bidi w:val="0"/>
              <w:adjustRightInd/>
              <w:snapToGrid/>
              <w:spacing w:line="240" w:lineRule="auto"/>
              <w:jc w:val="center"/>
              <w:rPr>
                <w:rFonts w:ascii="宋体" w:cs="宋体"/>
                <w:color w:val="auto"/>
                <w:kern w:val="0"/>
                <w:sz w:val="20"/>
                <w:szCs w:val="20"/>
                <w:highlight w:val="none"/>
              </w:rPr>
            </w:pPr>
          </w:p>
        </w:tc>
        <w:tc>
          <w:tcPr>
            <w:tcW w:w="4178" w:type="dxa"/>
            <w:gridSpan w:val="2"/>
            <w:tcBorders>
              <w:tl2br w:val="nil"/>
              <w:tr2bl w:val="nil"/>
            </w:tcBorders>
            <w:vAlign w:val="center"/>
          </w:tcPr>
          <w:p w14:paraId="528D095E">
            <w:pPr>
              <w:keepNext w:val="0"/>
              <w:keepLines w:val="0"/>
              <w:pageBreakBefore w:val="0"/>
              <w:widowControl/>
              <w:kinsoku/>
              <w:wordWrap/>
              <w:overflowPunct/>
              <w:topLinePunct w:val="0"/>
              <w:autoSpaceDE/>
              <w:autoSpaceDN/>
              <w:bidi w:val="0"/>
              <w:adjustRightInd/>
              <w:snapToGrid/>
              <w:spacing w:line="240" w:lineRule="auto"/>
              <w:jc w:val="left"/>
              <w:textAlignment w:val="center"/>
              <w:rPr>
                <w:rFonts w:ascii="宋体" w:cs="宋体"/>
                <w:color w:val="auto"/>
                <w:kern w:val="0"/>
                <w:sz w:val="20"/>
                <w:szCs w:val="20"/>
                <w:highlight w:val="none"/>
              </w:rPr>
            </w:pPr>
            <w:r>
              <w:rPr>
                <w:rFonts w:hint="eastAsia" w:ascii="宋体" w:hAnsi="宋体" w:eastAsia="宋体" w:cs="宋体"/>
                <w:color w:val="auto"/>
                <w:kern w:val="0"/>
                <w:sz w:val="20"/>
                <w:szCs w:val="20"/>
                <w:highlight w:val="none"/>
              </w:rPr>
              <w:t xml:space="preserve">         其他资金</w:t>
            </w:r>
          </w:p>
        </w:tc>
        <w:tc>
          <w:tcPr>
            <w:tcW w:w="3399" w:type="dxa"/>
            <w:gridSpan w:val="2"/>
            <w:tcBorders>
              <w:tl2br w:val="nil"/>
              <w:tr2bl w:val="nil"/>
            </w:tcBorders>
            <w:vAlign w:val="center"/>
          </w:tcPr>
          <w:p w14:paraId="5C6D8967">
            <w:pPr>
              <w:keepNext w:val="0"/>
              <w:keepLines w:val="0"/>
              <w:pageBreakBefore w:val="0"/>
              <w:kinsoku/>
              <w:wordWrap/>
              <w:overflowPunct/>
              <w:topLinePunct w:val="0"/>
              <w:autoSpaceDE/>
              <w:autoSpaceDN/>
              <w:bidi w:val="0"/>
              <w:adjustRightInd/>
              <w:snapToGrid/>
              <w:spacing w:line="240" w:lineRule="auto"/>
              <w:jc w:val="right"/>
              <w:rPr>
                <w:rFonts w:hint="default" w:ascii="宋体" w:cs="宋体" w:eastAsiaTheme="minorEastAsia"/>
                <w:color w:val="auto"/>
                <w:kern w:val="0"/>
                <w:sz w:val="20"/>
                <w:szCs w:val="20"/>
                <w:highlight w:val="none"/>
                <w:lang w:val="en-US" w:eastAsia="zh-CN"/>
              </w:rPr>
            </w:pPr>
            <w:r>
              <w:rPr>
                <w:rFonts w:hint="eastAsia" w:ascii="宋体" w:hAnsi="宋体" w:eastAsia="宋体" w:cs="宋体"/>
                <w:color w:val="auto"/>
                <w:kern w:val="0"/>
                <w:sz w:val="20"/>
                <w:szCs w:val="20"/>
                <w:highlight w:val="none"/>
              </w:rPr>
              <w:t>0.00</w:t>
            </w:r>
          </w:p>
        </w:tc>
      </w:tr>
      <w:tr w14:paraId="7F8D6A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5" w:hRule="atLeast"/>
          <w:jc w:val="center"/>
        </w:trPr>
        <w:tc>
          <w:tcPr>
            <w:tcW w:w="438" w:type="dxa"/>
            <w:tcBorders>
              <w:tl2br w:val="nil"/>
              <w:tr2bl w:val="nil"/>
            </w:tcBorders>
            <w:vAlign w:val="center"/>
          </w:tcPr>
          <w:p w14:paraId="36131758">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ascii="宋体" w:cs="宋体"/>
                <w:color w:val="auto"/>
                <w:kern w:val="0"/>
                <w:sz w:val="20"/>
                <w:szCs w:val="20"/>
                <w:highlight w:val="none"/>
              </w:rPr>
            </w:pPr>
            <w:r>
              <w:rPr>
                <w:rFonts w:hint="eastAsia" w:ascii="宋体" w:hAnsi="宋体" w:eastAsia="宋体" w:cs="宋体"/>
                <w:color w:val="auto"/>
                <w:kern w:val="0"/>
                <w:sz w:val="20"/>
                <w:szCs w:val="20"/>
                <w:highlight w:val="none"/>
              </w:rPr>
              <w:t>年度</w:t>
            </w:r>
            <w:r>
              <w:rPr>
                <w:rFonts w:hint="eastAsia" w:ascii="宋体" w:hAnsi="宋体" w:eastAsia="宋体" w:cs="宋体"/>
                <w:color w:val="auto"/>
                <w:kern w:val="0"/>
                <w:sz w:val="20"/>
                <w:szCs w:val="20"/>
                <w:highlight w:val="none"/>
              </w:rPr>
              <w:br w:type="textWrapping"/>
            </w:r>
            <w:r>
              <w:rPr>
                <w:rFonts w:hint="eastAsia" w:ascii="宋体" w:hAnsi="宋体" w:eastAsia="宋体" w:cs="宋体"/>
                <w:color w:val="auto"/>
                <w:kern w:val="0"/>
                <w:sz w:val="20"/>
                <w:szCs w:val="20"/>
                <w:highlight w:val="none"/>
              </w:rPr>
              <w:t>目标</w:t>
            </w:r>
          </w:p>
        </w:tc>
        <w:tc>
          <w:tcPr>
            <w:tcW w:w="8582" w:type="dxa"/>
            <w:gridSpan w:val="6"/>
            <w:tcBorders>
              <w:tl2br w:val="nil"/>
              <w:tr2bl w:val="nil"/>
            </w:tcBorders>
            <w:vAlign w:val="center"/>
          </w:tcPr>
          <w:p w14:paraId="0CDF6D97">
            <w:pPr>
              <w:keepNext w:val="0"/>
              <w:keepLines w:val="0"/>
              <w:pageBreakBefore w:val="0"/>
              <w:kinsoku/>
              <w:wordWrap/>
              <w:overflowPunct/>
              <w:topLinePunct w:val="0"/>
              <w:autoSpaceDE/>
              <w:autoSpaceDN/>
              <w:bidi w:val="0"/>
              <w:adjustRightInd/>
              <w:snapToGrid/>
              <w:spacing w:line="240" w:lineRule="auto"/>
              <w:jc w:val="left"/>
              <w:rPr>
                <w:rFonts w:ascii="宋体" w:cs="宋体"/>
                <w:color w:val="auto"/>
                <w:kern w:val="0"/>
                <w:sz w:val="20"/>
                <w:szCs w:val="20"/>
                <w:highlight w:val="none"/>
              </w:rPr>
            </w:pPr>
            <w:r>
              <w:rPr>
                <w:rFonts w:hint="eastAsia" w:ascii="宋体" w:cs="宋体"/>
                <w:color w:val="auto"/>
                <w:kern w:val="0"/>
                <w:sz w:val="20"/>
                <w:szCs w:val="20"/>
                <w:highlight w:val="none"/>
              </w:rPr>
              <w:t>对各类疾病的预防控制关系到经济发展、社会稳定、国家安全和民族兴衰，关系到加快发展、富民强市和全面建</w:t>
            </w:r>
            <w:r>
              <w:rPr>
                <w:rFonts w:hint="eastAsia" w:ascii="宋体" w:cs="宋体"/>
                <w:color w:val="auto"/>
                <w:kern w:val="0"/>
                <w:sz w:val="20"/>
                <w:szCs w:val="20"/>
                <w:highlight w:val="none"/>
                <w:lang w:val="en-US" w:eastAsia="zh-CN"/>
              </w:rPr>
              <w:t>成</w:t>
            </w:r>
            <w:r>
              <w:rPr>
                <w:rFonts w:hint="eastAsia" w:ascii="宋体" w:cs="宋体"/>
                <w:color w:val="auto"/>
                <w:kern w:val="0"/>
                <w:sz w:val="20"/>
                <w:szCs w:val="20"/>
                <w:highlight w:val="none"/>
              </w:rPr>
              <w:t>小康社会目标的实现。保障计划免疫冷链设备正常运转，确保疫苗安全；控制传染病流行，保障儿童身体健康，节约卫生资源；及时处置传染病疫情，切实阻断重大传染病疫情传播，保障人民身体健康；控制艾滋病、结核病等各类传染病的传播。</w:t>
            </w:r>
          </w:p>
        </w:tc>
      </w:tr>
      <w:tr w14:paraId="2F335E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8" w:hRule="atLeast"/>
          <w:jc w:val="center"/>
        </w:trPr>
        <w:tc>
          <w:tcPr>
            <w:tcW w:w="438" w:type="dxa"/>
            <w:vMerge w:val="restart"/>
            <w:tcBorders>
              <w:tl2br w:val="nil"/>
              <w:tr2bl w:val="nil"/>
            </w:tcBorders>
            <w:vAlign w:val="center"/>
          </w:tcPr>
          <w:p w14:paraId="62BCC15D">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ascii="宋体" w:cs="宋体"/>
                <w:color w:val="auto"/>
                <w:kern w:val="0"/>
                <w:sz w:val="20"/>
                <w:szCs w:val="20"/>
                <w:highlight w:val="none"/>
              </w:rPr>
            </w:pPr>
            <w:r>
              <w:rPr>
                <w:rFonts w:hint="eastAsia" w:ascii="宋体" w:hAnsi="宋体" w:eastAsia="宋体" w:cs="宋体"/>
                <w:color w:val="auto"/>
                <w:kern w:val="0"/>
                <w:sz w:val="20"/>
                <w:szCs w:val="20"/>
                <w:highlight w:val="none"/>
              </w:rPr>
              <w:t>绩</w:t>
            </w:r>
            <w:r>
              <w:rPr>
                <w:rFonts w:hint="eastAsia" w:ascii="宋体" w:hAnsi="宋体" w:eastAsia="宋体" w:cs="宋体"/>
                <w:color w:val="auto"/>
                <w:kern w:val="0"/>
                <w:sz w:val="20"/>
                <w:szCs w:val="20"/>
                <w:highlight w:val="none"/>
              </w:rPr>
              <w:br w:type="textWrapping"/>
            </w:r>
            <w:r>
              <w:rPr>
                <w:rFonts w:hint="eastAsia" w:ascii="宋体" w:hAnsi="宋体" w:eastAsia="宋体" w:cs="宋体"/>
                <w:color w:val="auto"/>
                <w:kern w:val="0"/>
                <w:sz w:val="20"/>
                <w:szCs w:val="20"/>
                <w:highlight w:val="none"/>
              </w:rPr>
              <w:t>效</w:t>
            </w:r>
            <w:r>
              <w:rPr>
                <w:rFonts w:hint="eastAsia" w:ascii="宋体" w:hAnsi="宋体" w:eastAsia="宋体" w:cs="宋体"/>
                <w:color w:val="auto"/>
                <w:kern w:val="0"/>
                <w:sz w:val="20"/>
                <w:szCs w:val="20"/>
                <w:highlight w:val="none"/>
              </w:rPr>
              <w:br w:type="textWrapping"/>
            </w:r>
            <w:r>
              <w:rPr>
                <w:rFonts w:hint="eastAsia" w:ascii="宋体" w:hAnsi="宋体" w:eastAsia="宋体" w:cs="宋体"/>
                <w:color w:val="auto"/>
                <w:kern w:val="0"/>
                <w:sz w:val="20"/>
                <w:szCs w:val="20"/>
                <w:highlight w:val="none"/>
              </w:rPr>
              <w:t>指</w:t>
            </w:r>
            <w:r>
              <w:rPr>
                <w:rFonts w:hint="eastAsia" w:ascii="宋体" w:hAnsi="宋体" w:eastAsia="宋体" w:cs="宋体"/>
                <w:color w:val="auto"/>
                <w:kern w:val="0"/>
                <w:sz w:val="20"/>
                <w:szCs w:val="20"/>
                <w:highlight w:val="none"/>
              </w:rPr>
              <w:br w:type="textWrapping"/>
            </w:r>
            <w:r>
              <w:rPr>
                <w:rFonts w:hint="eastAsia" w:ascii="宋体" w:hAnsi="宋体" w:eastAsia="宋体" w:cs="宋体"/>
                <w:color w:val="auto"/>
                <w:kern w:val="0"/>
                <w:sz w:val="20"/>
                <w:szCs w:val="20"/>
                <w:highlight w:val="none"/>
              </w:rPr>
              <w:t>标</w:t>
            </w:r>
          </w:p>
        </w:tc>
        <w:tc>
          <w:tcPr>
            <w:tcW w:w="833" w:type="dxa"/>
            <w:tcBorders>
              <w:tl2br w:val="nil"/>
              <w:tr2bl w:val="nil"/>
            </w:tcBorders>
            <w:vAlign w:val="center"/>
          </w:tcPr>
          <w:p w14:paraId="501C4E40">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ascii="宋体" w:cs="宋体"/>
                <w:color w:val="auto"/>
                <w:kern w:val="0"/>
                <w:sz w:val="20"/>
                <w:szCs w:val="20"/>
                <w:highlight w:val="none"/>
              </w:rPr>
            </w:pPr>
            <w:r>
              <w:rPr>
                <w:rFonts w:hint="eastAsia" w:ascii="宋体" w:hAnsi="宋体" w:eastAsia="宋体" w:cs="宋体"/>
                <w:color w:val="auto"/>
                <w:kern w:val="0"/>
                <w:sz w:val="20"/>
                <w:szCs w:val="20"/>
                <w:highlight w:val="none"/>
              </w:rPr>
              <w:t>一级</w:t>
            </w:r>
            <w:r>
              <w:rPr>
                <w:rFonts w:hint="eastAsia" w:ascii="宋体" w:hAnsi="宋体" w:eastAsia="宋体" w:cs="宋体"/>
                <w:color w:val="auto"/>
                <w:kern w:val="0"/>
                <w:sz w:val="20"/>
                <w:szCs w:val="20"/>
                <w:highlight w:val="none"/>
              </w:rPr>
              <w:br w:type="textWrapping"/>
            </w:r>
            <w:r>
              <w:rPr>
                <w:rFonts w:hint="eastAsia" w:ascii="宋体" w:hAnsi="宋体" w:eastAsia="宋体" w:cs="宋体"/>
                <w:color w:val="auto"/>
                <w:kern w:val="0"/>
                <w:sz w:val="20"/>
                <w:szCs w:val="20"/>
                <w:highlight w:val="none"/>
              </w:rPr>
              <w:t>指标</w:t>
            </w:r>
          </w:p>
        </w:tc>
        <w:tc>
          <w:tcPr>
            <w:tcW w:w="1228" w:type="dxa"/>
            <w:gridSpan w:val="2"/>
            <w:tcBorders>
              <w:tl2br w:val="nil"/>
              <w:tr2bl w:val="nil"/>
            </w:tcBorders>
            <w:vAlign w:val="center"/>
          </w:tcPr>
          <w:p w14:paraId="2014AFBD">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ascii="宋体" w:cs="宋体"/>
                <w:color w:val="auto"/>
                <w:kern w:val="0"/>
                <w:sz w:val="20"/>
                <w:szCs w:val="20"/>
                <w:highlight w:val="none"/>
              </w:rPr>
            </w:pPr>
            <w:r>
              <w:rPr>
                <w:rFonts w:hint="eastAsia" w:ascii="宋体" w:hAnsi="宋体" w:eastAsia="宋体" w:cs="宋体"/>
                <w:color w:val="auto"/>
                <w:kern w:val="0"/>
                <w:sz w:val="20"/>
                <w:szCs w:val="20"/>
                <w:highlight w:val="none"/>
              </w:rPr>
              <w:t>二级指标</w:t>
            </w:r>
          </w:p>
        </w:tc>
        <w:tc>
          <w:tcPr>
            <w:tcW w:w="3122" w:type="dxa"/>
            <w:tcBorders>
              <w:tl2br w:val="nil"/>
              <w:tr2bl w:val="nil"/>
            </w:tcBorders>
            <w:vAlign w:val="center"/>
          </w:tcPr>
          <w:p w14:paraId="5C97883E">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ascii="宋体" w:cs="宋体"/>
                <w:color w:val="auto"/>
                <w:kern w:val="0"/>
                <w:sz w:val="20"/>
                <w:szCs w:val="20"/>
                <w:highlight w:val="none"/>
              </w:rPr>
            </w:pPr>
            <w:r>
              <w:rPr>
                <w:rFonts w:hint="eastAsia" w:ascii="宋体" w:hAnsi="宋体" w:eastAsia="宋体" w:cs="宋体"/>
                <w:color w:val="auto"/>
                <w:kern w:val="0"/>
                <w:sz w:val="20"/>
                <w:szCs w:val="20"/>
                <w:highlight w:val="none"/>
              </w:rPr>
              <w:t>三级指标</w:t>
            </w:r>
          </w:p>
        </w:tc>
        <w:tc>
          <w:tcPr>
            <w:tcW w:w="3399" w:type="dxa"/>
            <w:gridSpan w:val="2"/>
            <w:tcBorders>
              <w:tl2br w:val="nil"/>
              <w:tr2bl w:val="nil"/>
            </w:tcBorders>
            <w:vAlign w:val="center"/>
          </w:tcPr>
          <w:p w14:paraId="3735C96C">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ascii="宋体" w:cs="宋体"/>
                <w:color w:val="auto"/>
                <w:kern w:val="0"/>
                <w:sz w:val="20"/>
                <w:szCs w:val="20"/>
                <w:highlight w:val="none"/>
              </w:rPr>
            </w:pPr>
            <w:r>
              <w:rPr>
                <w:rFonts w:hint="eastAsia" w:ascii="宋体" w:hAnsi="宋体" w:eastAsia="宋体" w:cs="宋体"/>
                <w:color w:val="auto"/>
                <w:kern w:val="0"/>
                <w:sz w:val="20"/>
                <w:szCs w:val="20"/>
                <w:highlight w:val="none"/>
              </w:rPr>
              <w:t>指标值</w:t>
            </w:r>
          </w:p>
        </w:tc>
      </w:tr>
      <w:tr w14:paraId="1ADE16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3" w:hRule="atLeast"/>
          <w:jc w:val="center"/>
        </w:trPr>
        <w:tc>
          <w:tcPr>
            <w:tcW w:w="438" w:type="dxa"/>
            <w:vMerge w:val="continue"/>
            <w:tcBorders>
              <w:tl2br w:val="nil"/>
              <w:tr2bl w:val="nil"/>
            </w:tcBorders>
            <w:vAlign w:val="center"/>
          </w:tcPr>
          <w:p w14:paraId="75780FE7">
            <w:pPr>
              <w:keepNext w:val="0"/>
              <w:keepLines w:val="0"/>
              <w:pageBreakBefore w:val="0"/>
              <w:kinsoku/>
              <w:wordWrap/>
              <w:overflowPunct/>
              <w:topLinePunct w:val="0"/>
              <w:autoSpaceDE/>
              <w:autoSpaceDN/>
              <w:bidi w:val="0"/>
              <w:adjustRightInd/>
              <w:snapToGrid/>
              <w:spacing w:line="240" w:lineRule="auto"/>
              <w:jc w:val="center"/>
              <w:rPr>
                <w:rFonts w:ascii="宋体" w:cs="宋体"/>
                <w:color w:val="auto"/>
                <w:kern w:val="0"/>
                <w:sz w:val="20"/>
                <w:szCs w:val="20"/>
                <w:highlight w:val="none"/>
              </w:rPr>
            </w:pPr>
          </w:p>
        </w:tc>
        <w:tc>
          <w:tcPr>
            <w:tcW w:w="833" w:type="dxa"/>
            <w:vMerge w:val="restart"/>
            <w:tcBorders>
              <w:tl2br w:val="nil"/>
              <w:tr2bl w:val="nil"/>
            </w:tcBorders>
            <w:vAlign w:val="center"/>
          </w:tcPr>
          <w:p w14:paraId="7113F786">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ascii="宋体" w:cs="宋体"/>
                <w:color w:val="auto"/>
                <w:kern w:val="0"/>
                <w:sz w:val="20"/>
                <w:szCs w:val="20"/>
                <w:highlight w:val="none"/>
              </w:rPr>
            </w:pPr>
            <w:r>
              <w:rPr>
                <w:rFonts w:hint="eastAsia" w:ascii="宋体" w:hAnsi="宋体" w:eastAsia="宋体" w:cs="宋体"/>
                <w:color w:val="auto"/>
                <w:kern w:val="0"/>
                <w:sz w:val="20"/>
                <w:szCs w:val="20"/>
                <w:highlight w:val="none"/>
              </w:rPr>
              <w:t>产出指标</w:t>
            </w:r>
          </w:p>
        </w:tc>
        <w:tc>
          <w:tcPr>
            <w:tcW w:w="1228" w:type="dxa"/>
            <w:gridSpan w:val="2"/>
            <w:vMerge w:val="restart"/>
            <w:tcBorders>
              <w:tl2br w:val="nil"/>
              <w:tr2bl w:val="nil"/>
            </w:tcBorders>
            <w:vAlign w:val="center"/>
          </w:tcPr>
          <w:p w14:paraId="4C0F393C">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ascii="宋体" w:cs="宋体"/>
                <w:color w:val="auto"/>
                <w:kern w:val="0"/>
                <w:sz w:val="20"/>
                <w:szCs w:val="20"/>
                <w:highlight w:val="none"/>
              </w:rPr>
            </w:pPr>
            <w:r>
              <w:rPr>
                <w:rFonts w:hint="eastAsia" w:ascii="宋体" w:hAnsi="宋体" w:eastAsia="宋体" w:cs="宋体"/>
                <w:color w:val="auto"/>
                <w:kern w:val="0"/>
                <w:sz w:val="20"/>
                <w:szCs w:val="20"/>
                <w:highlight w:val="none"/>
              </w:rPr>
              <w:t>数量指标</w:t>
            </w:r>
          </w:p>
        </w:tc>
        <w:tc>
          <w:tcPr>
            <w:tcW w:w="3122" w:type="dxa"/>
            <w:tcBorders>
              <w:tl2br w:val="nil"/>
              <w:tr2bl w:val="nil"/>
            </w:tcBorders>
            <w:vAlign w:val="center"/>
          </w:tcPr>
          <w:p w14:paraId="49E0EB70">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ascii="宋体" w:cs="宋体"/>
                <w:color w:val="auto"/>
                <w:kern w:val="0"/>
                <w:sz w:val="20"/>
                <w:szCs w:val="20"/>
                <w:highlight w:val="none"/>
              </w:rPr>
            </w:pPr>
            <w:r>
              <w:rPr>
                <w:rFonts w:hint="eastAsia" w:ascii="宋体" w:hAnsi="宋体" w:eastAsia="宋体" w:cs="宋体"/>
                <w:i w:val="0"/>
                <w:iCs w:val="0"/>
                <w:color w:val="auto"/>
                <w:kern w:val="0"/>
                <w:sz w:val="20"/>
                <w:szCs w:val="20"/>
                <w:highlight w:val="none"/>
                <w:u w:val="none"/>
                <w:lang w:val="en-US" w:eastAsia="zh-CN" w:bidi="ar"/>
              </w:rPr>
              <w:t>指标1：艾滋病、结核病等传染病的预防控制</w:t>
            </w:r>
          </w:p>
        </w:tc>
        <w:tc>
          <w:tcPr>
            <w:tcW w:w="3399" w:type="dxa"/>
            <w:gridSpan w:val="2"/>
            <w:tcBorders>
              <w:tl2br w:val="nil"/>
              <w:tr2bl w:val="nil"/>
            </w:tcBorders>
            <w:vAlign w:val="center"/>
          </w:tcPr>
          <w:p w14:paraId="392F561F">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cs="宋体"/>
                <w:color w:val="auto"/>
                <w:kern w:val="0"/>
                <w:sz w:val="20"/>
                <w:szCs w:val="20"/>
                <w:highlight w:val="none"/>
              </w:rPr>
            </w:pPr>
            <w:r>
              <w:rPr>
                <w:rFonts w:hint="eastAsia" w:ascii="宋体" w:hAnsi="宋体" w:eastAsia="宋体" w:cs="宋体"/>
                <w:i w:val="0"/>
                <w:iCs w:val="0"/>
                <w:color w:val="auto"/>
                <w:kern w:val="0"/>
                <w:sz w:val="20"/>
                <w:szCs w:val="20"/>
                <w:highlight w:val="none"/>
                <w:u w:val="none"/>
                <w:lang w:val="en-US" w:eastAsia="zh-CN" w:bidi="ar"/>
              </w:rPr>
              <w:t>达到国家要求</w:t>
            </w:r>
          </w:p>
        </w:tc>
      </w:tr>
      <w:tr w14:paraId="6FFD7F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3" w:hRule="atLeast"/>
          <w:jc w:val="center"/>
        </w:trPr>
        <w:tc>
          <w:tcPr>
            <w:tcW w:w="438" w:type="dxa"/>
            <w:vMerge w:val="continue"/>
            <w:tcBorders>
              <w:tl2br w:val="nil"/>
              <w:tr2bl w:val="nil"/>
            </w:tcBorders>
            <w:vAlign w:val="center"/>
          </w:tcPr>
          <w:p w14:paraId="0828E8D0">
            <w:pPr>
              <w:keepNext w:val="0"/>
              <w:keepLines w:val="0"/>
              <w:pageBreakBefore w:val="0"/>
              <w:kinsoku/>
              <w:wordWrap/>
              <w:overflowPunct/>
              <w:topLinePunct w:val="0"/>
              <w:autoSpaceDE/>
              <w:autoSpaceDN/>
              <w:bidi w:val="0"/>
              <w:adjustRightInd/>
              <w:snapToGrid/>
              <w:spacing w:line="240" w:lineRule="auto"/>
              <w:jc w:val="center"/>
              <w:rPr>
                <w:rFonts w:ascii="宋体" w:cs="宋体"/>
                <w:color w:val="auto"/>
                <w:kern w:val="0"/>
                <w:sz w:val="20"/>
                <w:szCs w:val="20"/>
                <w:highlight w:val="none"/>
              </w:rPr>
            </w:pPr>
          </w:p>
        </w:tc>
        <w:tc>
          <w:tcPr>
            <w:tcW w:w="833" w:type="dxa"/>
            <w:vMerge w:val="continue"/>
            <w:tcBorders>
              <w:tl2br w:val="nil"/>
              <w:tr2bl w:val="nil"/>
            </w:tcBorders>
            <w:vAlign w:val="center"/>
          </w:tcPr>
          <w:p w14:paraId="0858E319">
            <w:pPr>
              <w:keepNext w:val="0"/>
              <w:keepLines w:val="0"/>
              <w:pageBreakBefore w:val="0"/>
              <w:kinsoku/>
              <w:wordWrap/>
              <w:overflowPunct/>
              <w:topLinePunct w:val="0"/>
              <w:autoSpaceDE/>
              <w:autoSpaceDN/>
              <w:bidi w:val="0"/>
              <w:adjustRightInd/>
              <w:snapToGrid/>
              <w:spacing w:line="240" w:lineRule="auto"/>
              <w:jc w:val="center"/>
              <w:rPr>
                <w:rFonts w:ascii="宋体" w:cs="宋体"/>
                <w:color w:val="auto"/>
                <w:kern w:val="0"/>
                <w:sz w:val="20"/>
                <w:szCs w:val="20"/>
                <w:highlight w:val="none"/>
              </w:rPr>
            </w:pPr>
          </w:p>
        </w:tc>
        <w:tc>
          <w:tcPr>
            <w:tcW w:w="1228" w:type="dxa"/>
            <w:gridSpan w:val="2"/>
            <w:vMerge w:val="continue"/>
            <w:tcBorders>
              <w:tl2br w:val="nil"/>
              <w:tr2bl w:val="nil"/>
            </w:tcBorders>
            <w:vAlign w:val="center"/>
          </w:tcPr>
          <w:p w14:paraId="055D6642">
            <w:pPr>
              <w:keepNext w:val="0"/>
              <w:keepLines w:val="0"/>
              <w:pageBreakBefore w:val="0"/>
              <w:kinsoku/>
              <w:wordWrap/>
              <w:overflowPunct/>
              <w:topLinePunct w:val="0"/>
              <w:autoSpaceDE/>
              <w:autoSpaceDN/>
              <w:bidi w:val="0"/>
              <w:adjustRightInd/>
              <w:snapToGrid/>
              <w:spacing w:line="240" w:lineRule="auto"/>
              <w:jc w:val="center"/>
              <w:rPr>
                <w:rFonts w:ascii="宋体" w:cs="宋体"/>
                <w:color w:val="auto"/>
                <w:kern w:val="0"/>
                <w:sz w:val="20"/>
                <w:szCs w:val="20"/>
                <w:highlight w:val="none"/>
              </w:rPr>
            </w:pPr>
          </w:p>
        </w:tc>
        <w:tc>
          <w:tcPr>
            <w:tcW w:w="3122" w:type="dxa"/>
            <w:tcBorders>
              <w:tl2br w:val="nil"/>
              <w:tr2bl w:val="nil"/>
            </w:tcBorders>
            <w:vAlign w:val="center"/>
          </w:tcPr>
          <w:p w14:paraId="179B0CD1">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ascii="汉仪中秀体简" w:hAnsi="汉仪中秀体简" w:eastAsia="汉仪中秀体简" w:cs="汉仪中秀体简"/>
                <w:color w:val="auto"/>
                <w:kern w:val="0"/>
                <w:sz w:val="20"/>
                <w:szCs w:val="20"/>
                <w:highlight w:val="none"/>
              </w:rPr>
            </w:pPr>
            <w:r>
              <w:rPr>
                <w:rFonts w:hint="eastAsia" w:ascii="宋体" w:hAnsi="宋体" w:eastAsia="宋体" w:cs="宋体"/>
                <w:i w:val="0"/>
                <w:iCs w:val="0"/>
                <w:color w:val="auto"/>
                <w:kern w:val="0"/>
                <w:sz w:val="20"/>
                <w:szCs w:val="20"/>
                <w:highlight w:val="none"/>
                <w:u w:val="none"/>
                <w:lang w:val="en-US" w:eastAsia="zh-CN" w:bidi="ar"/>
              </w:rPr>
              <w:t>指标2：暴发疫情调查处理率</w:t>
            </w:r>
          </w:p>
        </w:tc>
        <w:tc>
          <w:tcPr>
            <w:tcW w:w="3399" w:type="dxa"/>
            <w:gridSpan w:val="2"/>
            <w:tcBorders>
              <w:tl2br w:val="nil"/>
              <w:tr2bl w:val="nil"/>
            </w:tcBorders>
            <w:vAlign w:val="center"/>
          </w:tcPr>
          <w:p w14:paraId="7445D082">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cs="宋体"/>
                <w:color w:val="auto"/>
                <w:kern w:val="0"/>
                <w:sz w:val="20"/>
                <w:szCs w:val="20"/>
                <w:highlight w:val="none"/>
              </w:rPr>
            </w:pPr>
            <w:r>
              <w:rPr>
                <w:rFonts w:hint="eastAsia" w:ascii="宋体" w:hAnsi="宋体" w:eastAsia="宋体" w:cs="宋体"/>
                <w:i w:val="0"/>
                <w:iCs w:val="0"/>
                <w:color w:val="auto"/>
                <w:kern w:val="0"/>
                <w:sz w:val="20"/>
                <w:szCs w:val="20"/>
                <w:highlight w:val="none"/>
                <w:u w:val="none"/>
                <w:lang w:val="en-US" w:eastAsia="zh-CN" w:bidi="ar"/>
              </w:rPr>
              <w:t>100%</w:t>
            </w:r>
          </w:p>
        </w:tc>
      </w:tr>
      <w:tr w14:paraId="10AF08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3" w:hRule="atLeast"/>
          <w:jc w:val="center"/>
        </w:trPr>
        <w:tc>
          <w:tcPr>
            <w:tcW w:w="438" w:type="dxa"/>
            <w:vMerge w:val="continue"/>
            <w:tcBorders>
              <w:tl2br w:val="nil"/>
              <w:tr2bl w:val="nil"/>
            </w:tcBorders>
            <w:vAlign w:val="center"/>
          </w:tcPr>
          <w:p w14:paraId="5DFA80EA">
            <w:pPr>
              <w:keepNext w:val="0"/>
              <w:keepLines w:val="0"/>
              <w:pageBreakBefore w:val="0"/>
              <w:kinsoku/>
              <w:wordWrap/>
              <w:overflowPunct/>
              <w:topLinePunct w:val="0"/>
              <w:autoSpaceDE/>
              <w:autoSpaceDN/>
              <w:bidi w:val="0"/>
              <w:adjustRightInd/>
              <w:snapToGrid/>
              <w:spacing w:line="240" w:lineRule="auto"/>
              <w:jc w:val="center"/>
              <w:rPr>
                <w:rFonts w:ascii="宋体" w:cs="宋体"/>
                <w:color w:val="auto"/>
                <w:kern w:val="0"/>
                <w:sz w:val="20"/>
                <w:szCs w:val="20"/>
                <w:highlight w:val="none"/>
              </w:rPr>
            </w:pPr>
          </w:p>
        </w:tc>
        <w:tc>
          <w:tcPr>
            <w:tcW w:w="833" w:type="dxa"/>
            <w:vMerge w:val="continue"/>
            <w:tcBorders>
              <w:tl2br w:val="nil"/>
              <w:tr2bl w:val="nil"/>
            </w:tcBorders>
            <w:vAlign w:val="center"/>
          </w:tcPr>
          <w:p w14:paraId="2441EEDD">
            <w:pPr>
              <w:keepNext w:val="0"/>
              <w:keepLines w:val="0"/>
              <w:pageBreakBefore w:val="0"/>
              <w:kinsoku/>
              <w:wordWrap/>
              <w:overflowPunct/>
              <w:topLinePunct w:val="0"/>
              <w:autoSpaceDE/>
              <w:autoSpaceDN/>
              <w:bidi w:val="0"/>
              <w:adjustRightInd/>
              <w:snapToGrid/>
              <w:spacing w:line="240" w:lineRule="auto"/>
              <w:jc w:val="center"/>
              <w:rPr>
                <w:rFonts w:ascii="宋体" w:cs="宋体"/>
                <w:color w:val="auto"/>
                <w:kern w:val="0"/>
                <w:sz w:val="20"/>
                <w:szCs w:val="20"/>
                <w:highlight w:val="none"/>
              </w:rPr>
            </w:pPr>
          </w:p>
        </w:tc>
        <w:tc>
          <w:tcPr>
            <w:tcW w:w="1228" w:type="dxa"/>
            <w:gridSpan w:val="2"/>
            <w:vMerge w:val="continue"/>
            <w:tcBorders>
              <w:tl2br w:val="nil"/>
              <w:tr2bl w:val="nil"/>
            </w:tcBorders>
            <w:vAlign w:val="center"/>
          </w:tcPr>
          <w:p w14:paraId="46B13D3D">
            <w:pPr>
              <w:keepNext w:val="0"/>
              <w:keepLines w:val="0"/>
              <w:pageBreakBefore w:val="0"/>
              <w:kinsoku/>
              <w:wordWrap/>
              <w:overflowPunct/>
              <w:topLinePunct w:val="0"/>
              <w:autoSpaceDE/>
              <w:autoSpaceDN/>
              <w:bidi w:val="0"/>
              <w:adjustRightInd/>
              <w:snapToGrid/>
              <w:spacing w:line="240" w:lineRule="auto"/>
              <w:jc w:val="center"/>
              <w:rPr>
                <w:rFonts w:ascii="宋体" w:cs="宋体"/>
                <w:color w:val="auto"/>
                <w:kern w:val="0"/>
                <w:sz w:val="20"/>
                <w:szCs w:val="20"/>
                <w:highlight w:val="none"/>
              </w:rPr>
            </w:pPr>
          </w:p>
        </w:tc>
        <w:tc>
          <w:tcPr>
            <w:tcW w:w="3122" w:type="dxa"/>
            <w:tcBorders>
              <w:tl2br w:val="nil"/>
              <w:tr2bl w:val="nil"/>
            </w:tcBorders>
            <w:vAlign w:val="center"/>
          </w:tcPr>
          <w:p w14:paraId="21531C70">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ascii="汉仪中秀体简" w:hAnsi="汉仪中秀体简" w:eastAsia="汉仪中秀体简" w:cs="汉仪中秀体简"/>
                <w:color w:val="auto"/>
                <w:kern w:val="0"/>
                <w:sz w:val="20"/>
                <w:szCs w:val="20"/>
                <w:highlight w:val="none"/>
              </w:rPr>
            </w:pPr>
            <w:r>
              <w:rPr>
                <w:rFonts w:hint="eastAsia" w:ascii="宋体" w:hAnsi="宋体" w:eastAsia="宋体" w:cs="宋体"/>
                <w:i w:val="0"/>
                <w:iCs w:val="0"/>
                <w:color w:val="auto"/>
                <w:kern w:val="0"/>
                <w:sz w:val="20"/>
                <w:szCs w:val="20"/>
                <w:highlight w:val="none"/>
                <w:u w:val="none"/>
                <w:lang w:val="en-US" w:eastAsia="zh-CN" w:bidi="ar"/>
              </w:rPr>
              <w:t>指标3：免疫规划接种率</w:t>
            </w:r>
          </w:p>
        </w:tc>
        <w:tc>
          <w:tcPr>
            <w:tcW w:w="3399" w:type="dxa"/>
            <w:gridSpan w:val="2"/>
            <w:tcBorders>
              <w:tl2br w:val="nil"/>
              <w:tr2bl w:val="nil"/>
            </w:tcBorders>
            <w:vAlign w:val="center"/>
          </w:tcPr>
          <w:p w14:paraId="47E7D5E5">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cs="宋体"/>
                <w:color w:val="auto"/>
                <w:kern w:val="0"/>
                <w:sz w:val="20"/>
                <w:szCs w:val="20"/>
                <w:highlight w:val="none"/>
              </w:rPr>
            </w:pPr>
            <w:r>
              <w:rPr>
                <w:rFonts w:hint="eastAsia" w:ascii="宋体" w:hAnsi="宋体" w:eastAsia="宋体" w:cs="宋体"/>
                <w:i w:val="0"/>
                <w:iCs w:val="0"/>
                <w:color w:val="auto"/>
                <w:kern w:val="0"/>
                <w:sz w:val="20"/>
                <w:szCs w:val="20"/>
                <w:highlight w:val="none"/>
                <w:u w:val="none"/>
                <w:lang w:val="en-US" w:eastAsia="zh-CN" w:bidi="ar"/>
              </w:rPr>
              <w:t>≥90%</w:t>
            </w:r>
          </w:p>
        </w:tc>
      </w:tr>
      <w:tr w14:paraId="6B01FF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3" w:hRule="atLeast"/>
          <w:jc w:val="center"/>
        </w:trPr>
        <w:tc>
          <w:tcPr>
            <w:tcW w:w="438" w:type="dxa"/>
            <w:vMerge w:val="continue"/>
            <w:tcBorders>
              <w:tl2br w:val="nil"/>
              <w:tr2bl w:val="nil"/>
            </w:tcBorders>
            <w:vAlign w:val="center"/>
          </w:tcPr>
          <w:p w14:paraId="7EBB2797">
            <w:pPr>
              <w:keepNext w:val="0"/>
              <w:keepLines w:val="0"/>
              <w:pageBreakBefore w:val="0"/>
              <w:kinsoku/>
              <w:wordWrap/>
              <w:overflowPunct/>
              <w:topLinePunct w:val="0"/>
              <w:autoSpaceDE/>
              <w:autoSpaceDN/>
              <w:bidi w:val="0"/>
              <w:adjustRightInd/>
              <w:snapToGrid/>
              <w:spacing w:line="240" w:lineRule="auto"/>
              <w:jc w:val="center"/>
              <w:rPr>
                <w:rFonts w:ascii="宋体" w:cs="宋体"/>
                <w:color w:val="auto"/>
                <w:kern w:val="0"/>
                <w:sz w:val="20"/>
                <w:szCs w:val="20"/>
              </w:rPr>
            </w:pPr>
          </w:p>
        </w:tc>
        <w:tc>
          <w:tcPr>
            <w:tcW w:w="833" w:type="dxa"/>
            <w:vMerge w:val="continue"/>
            <w:tcBorders>
              <w:tl2br w:val="nil"/>
              <w:tr2bl w:val="nil"/>
            </w:tcBorders>
            <w:vAlign w:val="center"/>
          </w:tcPr>
          <w:p w14:paraId="60B6E463">
            <w:pPr>
              <w:keepNext w:val="0"/>
              <w:keepLines w:val="0"/>
              <w:pageBreakBefore w:val="0"/>
              <w:kinsoku/>
              <w:wordWrap/>
              <w:overflowPunct/>
              <w:topLinePunct w:val="0"/>
              <w:autoSpaceDE/>
              <w:autoSpaceDN/>
              <w:bidi w:val="0"/>
              <w:adjustRightInd/>
              <w:snapToGrid/>
              <w:spacing w:line="240" w:lineRule="auto"/>
              <w:jc w:val="center"/>
              <w:rPr>
                <w:rFonts w:ascii="宋体" w:cs="宋体"/>
                <w:color w:val="auto"/>
                <w:kern w:val="0"/>
                <w:sz w:val="20"/>
                <w:szCs w:val="20"/>
              </w:rPr>
            </w:pPr>
          </w:p>
        </w:tc>
        <w:tc>
          <w:tcPr>
            <w:tcW w:w="1228" w:type="dxa"/>
            <w:gridSpan w:val="2"/>
            <w:vMerge w:val="continue"/>
            <w:tcBorders>
              <w:tl2br w:val="nil"/>
              <w:tr2bl w:val="nil"/>
            </w:tcBorders>
            <w:vAlign w:val="center"/>
          </w:tcPr>
          <w:p w14:paraId="7EB3A9D9">
            <w:pPr>
              <w:keepNext w:val="0"/>
              <w:keepLines w:val="0"/>
              <w:pageBreakBefore w:val="0"/>
              <w:kinsoku/>
              <w:wordWrap/>
              <w:overflowPunct/>
              <w:topLinePunct w:val="0"/>
              <w:autoSpaceDE/>
              <w:autoSpaceDN/>
              <w:bidi w:val="0"/>
              <w:adjustRightInd/>
              <w:snapToGrid/>
              <w:spacing w:line="240" w:lineRule="auto"/>
              <w:jc w:val="center"/>
              <w:rPr>
                <w:rFonts w:ascii="宋体" w:cs="宋体"/>
                <w:color w:val="auto"/>
                <w:kern w:val="0"/>
                <w:sz w:val="20"/>
                <w:szCs w:val="20"/>
              </w:rPr>
            </w:pPr>
          </w:p>
        </w:tc>
        <w:tc>
          <w:tcPr>
            <w:tcW w:w="3122" w:type="dxa"/>
            <w:tcBorders>
              <w:tl2br w:val="nil"/>
              <w:tr2bl w:val="nil"/>
            </w:tcBorders>
            <w:vAlign w:val="center"/>
          </w:tcPr>
          <w:p w14:paraId="1F523458">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ascii="汉仪中秀体简" w:hAnsi="汉仪中秀体简" w:eastAsia="汉仪中秀体简" w:cs="汉仪中秀体简"/>
                <w:color w:val="auto"/>
                <w:kern w:val="0"/>
                <w:sz w:val="20"/>
                <w:szCs w:val="20"/>
              </w:rPr>
            </w:pPr>
            <w:r>
              <w:rPr>
                <w:rFonts w:hint="eastAsia" w:ascii="宋体" w:hAnsi="宋体" w:eastAsia="宋体" w:cs="宋体"/>
                <w:i w:val="0"/>
                <w:iCs w:val="0"/>
                <w:color w:val="auto"/>
                <w:kern w:val="0"/>
                <w:sz w:val="20"/>
                <w:szCs w:val="20"/>
                <w:u w:val="none"/>
                <w:lang w:val="en-US" w:eastAsia="zh-CN" w:bidi="ar"/>
              </w:rPr>
              <w:t>指标4：法定传染病报告率</w:t>
            </w:r>
          </w:p>
        </w:tc>
        <w:tc>
          <w:tcPr>
            <w:tcW w:w="3399" w:type="dxa"/>
            <w:gridSpan w:val="2"/>
            <w:tcBorders>
              <w:tl2br w:val="nil"/>
              <w:tr2bl w:val="nil"/>
            </w:tcBorders>
            <w:vAlign w:val="center"/>
          </w:tcPr>
          <w:p w14:paraId="4AB2BF54">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cs="宋体"/>
                <w:color w:val="auto"/>
                <w:kern w:val="0"/>
                <w:sz w:val="20"/>
                <w:szCs w:val="20"/>
              </w:rPr>
            </w:pPr>
            <w:r>
              <w:rPr>
                <w:rFonts w:hint="eastAsia" w:ascii="宋体" w:hAnsi="宋体" w:eastAsia="宋体" w:cs="宋体"/>
                <w:i w:val="0"/>
                <w:iCs w:val="0"/>
                <w:color w:val="auto"/>
                <w:kern w:val="0"/>
                <w:sz w:val="20"/>
                <w:szCs w:val="20"/>
                <w:u w:val="none"/>
                <w:lang w:val="en-US" w:eastAsia="zh-CN" w:bidi="ar"/>
              </w:rPr>
              <w:t>≥95%</w:t>
            </w:r>
          </w:p>
        </w:tc>
      </w:tr>
      <w:tr w14:paraId="19CF70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3" w:hRule="atLeast"/>
          <w:jc w:val="center"/>
        </w:trPr>
        <w:tc>
          <w:tcPr>
            <w:tcW w:w="438" w:type="dxa"/>
            <w:vMerge w:val="continue"/>
            <w:tcBorders>
              <w:tl2br w:val="nil"/>
              <w:tr2bl w:val="nil"/>
            </w:tcBorders>
            <w:vAlign w:val="center"/>
          </w:tcPr>
          <w:p w14:paraId="7C46BF6B">
            <w:pPr>
              <w:keepNext w:val="0"/>
              <w:keepLines w:val="0"/>
              <w:pageBreakBefore w:val="0"/>
              <w:kinsoku/>
              <w:wordWrap/>
              <w:overflowPunct/>
              <w:topLinePunct w:val="0"/>
              <w:autoSpaceDE/>
              <w:autoSpaceDN/>
              <w:bidi w:val="0"/>
              <w:adjustRightInd/>
              <w:snapToGrid/>
              <w:spacing w:line="240" w:lineRule="auto"/>
              <w:jc w:val="center"/>
              <w:rPr>
                <w:rFonts w:ascii="宋体" w:cs="宋体"/>
                <w:color w:val="auto"/>
                <w:kern w:val="0"/>
                <w:sz w:val="20"/>
                <w:szCs w:val="20"/>
              </w:rPr>
            </w:pPr>
          </w:p>
        </w:tc>
        <w:tc>
          <w:tcPr>
            <w:tcW w:w="833" w:type="dxa"/>
            <w:vMerge w:val="continue"/>
            <w:tcBorders>
              <w:tl2br w:val="nil"/>
              <w:tr2bl w:val="nil"/>
            </w:tcBorders>
            <w:vAlign w:val="center"/>
          </w:tcPr>
          <w:p w14:paraId="25D02394">
            <w:pPr>
              <w:keepNext w:val="0"/>
              <w:keepLines w:val="0"/>
              <w:pageBreakBefore w:val="0"/>
              <w:kinsoku/>
              <w:wordWrap/>
              <w:overflowPunct/>
              <w:topLinePunct w:val="0"/>
              <w:autoSpaceDE/>
              <w:autoSpaceDN/>
              <w:bidi w:val="0"/>
              <w:adjustRightInd/>
              <w:snapToGrid/>
              <w:spacing w:line="240" w:lineRule="auto"/>
              <w:jc w:val="center"/>
              <w:rPr>
                <w:rFonts w:ascii="宋体" w:cs="宋体"/>
                <w:color w:val="auto"/>
                <w:kern w:val="0"/>
                <w:sz w:val="20"/>
                <w:szCs w:val="20"/>
              </w:rPr>
            </w:pPr>
          </w:p>
        </w:tc>
        <w:tc>
          <w:tcPr>
            <w:tcW w:w="1228" w:type="dxa"/>
            <w:gridSpan w:val="2"/>
            <w:vMerge w:val="continue"/>
            <w:tcBorders>
              <w:tl2br w:val="nil"/>
              <w:tr2bl w:val="nil"/>
            </w:tcBorders>
            <w:vAlign w:val="center"/>
          </w:tcPr>
          <w:p w14:paraId="404CE9D2">
            <w:pPr>
              <w:keepNext w:val="0"/>
              <w:keepLines w:val="0"/>
              <w:pageBreakBefore w:val="0"/>
              <w:kinsoku/>
              <w:wordWrap/>
              <w:overflowPunct/>
              <w:topLinePunct w:val="0"/>
              <w:autoSpaceDE/>
              <w:autoSpaceDN/>
              <w:bidi w:val="0"/>
              <w:adjustRightInd/>
              <w:snapToGrid/>
              <w:spacing w:line="240" w:lineRule="auto"/>
              <w:jc w:val="center"/>
              <w:rPr>
                <w:rFonts w:ascii="宋体" w:cs="宋体"/>
                <w:color w:val="auto"/>
                <w:kern w:val="0"/>
                <w:sz w:val="20"/>
                <w:szCs w:val="20"/>
              </w:rPr>
            </w:pPr>
          </w:p>
        </w:tc>
        <w:tc>
          <w:tcPr>
            <w:tcW w:w="3122" w:type="dxa"/>
            <w:tcBorders>
              <w:tl2br w:val="nil"/>
              <w:tr2bl w:val="nil"/>
            </w:tcBorders>
            <w:vAlign w:val="center"/>
          </w:tcPr>
          <w:p w14:paraId="7A0E3134">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ascii="宋体" w:cs="宋体"/>
                <w:color w:val="auto"/>
                <w:kern w:val="0"/>
                <w:sz w:val="20"/>
                <w:szCs w:val="20"/>
              </w:rPr>
            </w:pPr>
            <w:r>
              <w:rPr>
                <w:rFonts w:hint="eastAsia" w:ascii="宋体" w:hAnsi="宋体" w:eastAsia="宋体" w:cs="宋体"/>
                <w:i w:val="0"/>
                <w:iCs w:val="0"/>
                <w:color w:val="auto"/>
                <w:kern w:val="0"/>
                <w:sz w:val="20"/>
                <w:szCs w:val="20"/>
                <w:u w:val="none"/>
                <w:lang w:val="en-US" w:eastAsia="zh-CN" w:bidi="ar"/>
              </w:rPr>
              <w:t>指标5：重点传染病个案调查率</w:t>
            </w:r>
          </w:p>
        </w:tc>
        <w:tc>
          <w:tcPr>
            <w:tcW w:w="3399" w:type="dxa"/>
            <w:gridSpan w:val="2"/>
            <w:tcBorders>
              <w:tl2br w:val="nil"/>
              <w:tr2bl w:val="nil"/>
            </w:tcBorders>
            <w:vAlign w:val="center"/>
          </w:tcPr>
          <w:p w14:paraId="337822CE">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cs="宋体"/>
                <w:color w:val="auto"/>
                <w:kern w:val="0"/>
                <w:sz w:val="20"/>
                <w:szCs w:val="20"/>
              </w:rPr>
            </w:pPr>
            <w:r>
              <w:rPr>
                <w:rFonts w:hint="eastAsia" w:ascii="宋体" w:hAnsi="宋体" w:eastAsia="宋体" w:cs="宋体"/>
                <w:i w:val="0"/>
                <w:iCs w:val="0"/>
                <w:color w:val="auto"/>
                <w:kern w:val="0"/>
                <w:sz w:val="20"/>
                <w:szCs w:val="20"/>
                <w:u w:val="none"/>
                <w:lang w:val="en-US" w:eastAsia="zh-CN" w:bidi="ar"/>
              </w:rPr>
              <w:t>100%</w:t>
            </w:r>
          </w:p>
        </w:tc>
      </w:tr>
      <w:tr w14:paraId="10ACEF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3" w:hRule="atLeast"/>
          <w:jc w:val="center"/>
        </w:trPr>
        <w:tc>
          <w:tcPr>
            <w:tcW w:w="438" w:type="dxa"/>
            <w:vMerge w:val="continue"/>
            <w:tcBorders>
              <w:tl2br w:val="nil"/>
              <w:tr2bl w:val="nil"/>
            </w:tcBorders>
            <w:vAlign w:val="center"/>
          </w:tcPr>
          <w:p w14:paraId="3B567BCC">
            <w:pPr>
              <w:keepNext w:val="0"/>
              <w:keepLines w:val="0"/>
              <w:pageBreakBefore w:val="0"/>
              <w:kinsoku/>
              <w:wordWrap/>
              <w:overflowPunct/>
              <w:topLinePunct w:val="0"/>
              <w:autoSpaceDE/>
              <w:autoSpaceDN/>
              <w:bidi w:val="0"/>
              <w:adjustRightInd/>
              <w:snapToGrid/>
              <w:spacing w:line="240" w:lineRule="auto"/>
              <w:jc w:val="center"/>
              <w:rPr>
                <w:rFonts w:ascii="宋体" w:cs="宋体"/>
                <w:color w:val="auto"/>
                <w:kern w:val="0"/>
                <w:sz w:val="20"/>
                <w:szCs w:val="20"/>
              </w:rPr>
            </w:pPr>
          </w:p>
        </w:tc>
        <w:tc>
          <w:tcPr>
            <w:tcW w:w="833" w:type="dxa"/>
            <w:vMerge w:val="continue"/>
            <w:tcBorders>
              <w:tl2br w:val="nil"/>
              <w:tr2bl w:val="nil"/>
            </w:tcBorders>
            <w:vAlign w:val="center"/>
          </w:tcPr>
          <w:p w14:paraId="235DE932">
            <w:pPr>
              <w:keepNext w:val="0"/>
              <w:keepLines w:val="0"/>
              <w:pageBreakBefore w:val="0"/>
              <w:kinsoku/>
              <w:wordWrap/>
              <w:overflowPunct/>
              <w:topLinePunct w:val="0"/>
              <w:autoSpaceDE/>
              <w:autoSpaceDN/>
              <w:bidi w:val="0"/>
              <w:adjustRightInd/>
              <w:snapToGrid/>
              <w:spacing w:line="240" w:lineRule="auto"/>
              <w:jc w:val="center"/>
              <w:rPr>
                <w:rFonts w:ascii="宋体" w:cs="宋体"/>
                <w:color w:val="auto"/>
                <w:kern w:val="0"/>
                <w:sz w:val="20"/>
                <w:szCs w:val="20"/>
              </w:rPr>
            </w:pPr>
          </w:p>
        </w:tc>
        <w:tc>
          <w:tcPr>
            <w:tcW w:w="1228" w:type="dxa"/>
            <w:gridSpan w:val="2"/>
            <w:vMerge w:val="restart"/>
            <w:tcBorders>
              <w:tl2br w:val="nil"/>
              <w:tr2bl w:val="nil"/>
            </w:tcBorders>
            <w:vAlign w:val="center"/>
          </w:tcPr>
          <w:p w14:paraId="5624EE15">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ascii="宋体" w:cs="宋体"/>
                <w:color w:val="auto"/>
                <w:kern w:val="0"/>
                <w:sz w:val="20"/>
                <w:szCs w:val="20"/>
              </w:rPr>
            </w:pPr>
            <w:r>
              <w:rPr>
                <w:rFonts w:hint="eastAsia" w:ascii="宋体" w:hAnsi="宋体" w:eastAsia="宋体" w:cs="宋体"/>
                <w:color w:val="auto"/>
                <w:kern w:val="0"/>
                <w:sz w:val="20"/>
                <w:szCs w:val="20"/>
              </w:rPr>
              <w:t>质量指标</w:t>
            </w:r>
          </w:p>
        </w:tc>
        <w:tc>
          <w:tcPr>
            <w:tcW w:w="3122" w:type="dxa"/>
            <w:tcBorders>
              <w:tl2br w:val="nil"/>
              <w:tr2bl w:val="nil"/>
            </w:tcBorders>
            <w:vAlign w:val="center"/>
          </w:tcPr>
          <w:p w14:paraId="5FE4B9F3">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ascii="宋体" w:cs="宋体"/>
                <w:color w:val="auto"/>
                <w:kern w:val="0"/>
                <w:sz w:val="20"/>
                <w:szCs w:val="20"/>
              </w:rPr>
            </w:pPr>
            <w:r>
              <w:rPr>
                <w:rFonts w:hint="eastAsia" w:ascii="宋体" w:hAnsi="宋体" w:eastAsia="宋体" w:cs="宋体"/>
                <w:i w:val="0"/>
                <w:iCs w:val="0"/>
                <w:color w:val="auto"/>
                <w:kern w:val="0"/>
                <w:sz w:val="20"/>
                <w:szCs w:val="20"/>
                <w:u w:val="none"/>
                <w:lang w:val="en-US" w:eastAsia="zh-CN" w:bidi="ar"/>
              </w:rPr>
              <w:t>指标1：疾病监测、报告等</w:t>
            </w:r>
          </w:p>
        </w:tc>
        <w:tc>
          <w:tcPr>
            <w:tcW w:w="3399" w:type="dxa"/>
            <w:gridSpan w:val="2"/>
            <w:tcBorders>
              <w:tl2br w:val="nil"/>
              <w:tr2bl w:val="nil"/>
            </w:tcBorders>
            <w:vAlign w:val="center"/>
          </w:tcPr>
          <w:p w14:paraId="020406E1">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cs="宋体"/>
                <w:color w:val="auto"/>
                <w:kern w:val="0"/>
                <w:sz w:val="20"/>
                <w:szCs w:val="20"/>
              </w:rPr>
            </w:pPr>
            <w:r>
              <w:rPr>
                <w:rFonts w:hint="eastAsia" w:ascii="宋体" w:hAnsi="宋体" w:eastAsia="宋体" w:cs="宋体"/>
                <w:i w:val="0"/>
                <w:iCs w:val="0"/>
                <w:color w:val="auto"/>
                <w:kern w:val="0"/>
                <w:sz w:val="20"/>
                <w:szCs w:val="20"/>
                <w:u w:val="none"/>
                <w:lang w:val="en-US" w:eastAsia="zh-CN" w:bidi="ar"/>
              </w:rPr>
              <w:t>符合国家方案要求</w:t>
            </w:r>
          </w:p>
        </w:tc>
      </w:tr>
      <w:tr w14:paraId="1CE0D3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3" w:hRule="atLeast"/>
          <w:jc w:val="center"/>
        </w:trPr>
        <w:tc>
          <w:tcPr>
            <w:tcW w:w="438" w:type="dxa"/>
            <w:vMerge w:val="continue"/>
            <w:tcBorders>
              <w:tl2br w:val="nil"/>
              <w:tr2bl w:val="nil"/>
            </w:tcBorders>
            <w:vAlign w:val="center"/>
          </w:tcPr>
          <w:p w14:paraId="13A1F759">
            <w:pPr>
              <w:keepNext w:val="0"/>
              <w:keepLines w:val="0"/>
              <w:pageBreakBefore w:val="0"/>
              <w:kinsoku/>
              <w:wordWrap/>
              <w:overflowPunct/>
              <w:topLinePunct w:val="0"/>
              <w:autoSpaceDE/>
              <w:autoSpaceDN/>
              <w:bidi w:val="0"/>
              <w:adjustRightInd/>
              <w:snapToGrid/>
              <w:spacing w:line="240" w:lineRule="auto"/>
              <w:jc w:val="center"/>
              <w:rPr>
                <w:rFonts w:ascii="宋体" w:cs="宋体"/>
                <w:color w:val="auto"/>
                <w:kern w:val="0"/>
                <w:sz w:val="20"/>
                <w:szCs w:val="20"/>
              </w:rPr>
            </w:pPr>
          </w:p>
        </w:tc>
        <w:tc>
          <w:tcPr>
            <w:tcW w:w="833" w:type="dxa"/>
            <w:vMerge w:val="continue"/>
            <w:tcBorders>
              <w:tl2br w:val="nil"/>
              <w:tr2bl w:val="nil"/>
            </w:tcBorders>
            <w:vAlign w:val="center"/>
          </w:tcPr>
          <w:p w14:paraId="67BF88E0">
            <w:pPr>
              <w:keepNext w:val="0"/>
              <w:keepLines w:val="0"/>
              <w:pageBreakBefore w:val="0"/>
              <w:kinsoku/>
              <w:wordWrap/>
              <w:overflowPunct/>
              <w:topLinePunct w:val="0"/>
              <w:autoSpaceDE/>
              <w:autoSpaceDN/>
              <w:bidi w:val="0"/>
              <w:adjustRightInd/>
              <w:snapToGrid/>
              <w:spacing w:line="240" w:lineRule="auto"/>
              <w:jc w:val="center"/>
              <w:rPr>
                <w:rFonts w:ascii="宋体" w:cs="宋体"/>
                <w:color w:val="auto"/>
                <w:kern w:val="0"/>
                <w:sz w:val="20"/>
                <w:szCs w:val="20"/>
              </w:rPr>
            </w:pPr>
          </w:p>
        </w:tc>
        <w:tc>
          <w:tcPr>
            <w:tcW w:w="1228" w:type="dxa"/>
            <w:gridSpan w:val="2"/>
            <w:vMerge w:val="continue"/>
            <w:tcBorders>
              <w:tl2br w:val="nil"/>
              <w:tr2bl w:val="nil"/>
            </w:tcBorders>
            <w:vAlign w:val="center"/>
          </w:tcPr>
          <w:p w14:paraId="7AC3075E">
            <w:pPr>
              <w:keepNext w:val="0"/>
              <w:keepLines w:val="0"/>
              <w:pageBreakBefore w:val="0"/>
              <w:kinsoku/>
              <w:wordWrap/>
              <w:overflowPunct/>
              <w:topLinePunct w:val="0"/>
              <w:autoSpaceDE/>
              <w:autoSpaceDN/>
              <w:bidi w:val="0"/>
              <w:adjustRightInd/>
              <w:snapToGrid/>
              <w:spacing w:line="240" w:lineRule="auto"/>
              <w:jc w:val="center"/>
              <w:rPr>
                <w:rFonts w:ascii="宋体" w:cs="宋体"/>
                <w:color w:val="auto"/>
                <w:kern w:val="0"/>
                <w:sz w:val="20"/>
                <w:szCs w:val="20"/>
              </w:rPr>
            </w:pPr>
          </w:p>
        </w:tc>
        <w:tc>
          <w:tcPr>
            <w:tcW w:w="3122" w:type="dxa"/>
            <w:tcBorders>
              <w:tl2br w:val="nil"/>
              <w:tr2bl w:val="nil"/>
            </w:tcBorders>
            <w:vAlign w:val="center"/>
          </w:tcPr>
          <w:p w14:paraId="6796F019">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ascii="汉仪中秀体简" w:hAnsi="汉仪中秀体简" w:eastAsia="汉仪中秀体简" w:cs="汉仪中秀体简"/>
                <w:color w:val="auto"/>
                <w:kern w:val="0"/>
                <w:sz w:val="20"/>
                <w:szCs w:val="20"/>
              </w:rPr>
            </w:pPr>
            <w:r>
              <w:rPr>
                <w:rFonts w:hint="eastAsia" w:ascii="宋体" w:hAnsi="宋体" w:eastAsia="宋体" w:cs="宋体"/>
                <w:i w:val="0"/>
                <w:iCs w:val="0"/>
                <w:color w:val="auto"/>
                <w:kern w:val="0"/>
                <w:sz w:val="20"/>
                <w:szCs w:val="20"/>
                <w:u w:val="none"/>
                <w:lang w:val="en-US" w:eastAsia="zh-CN" w:bidi="ar"/>
              </w:rPr>
              <w:t>指标2：疫苗冷链管理</w:t>
            </w:r>
          </w:p>
        </w:tc>
        <w:tc>
          <w:tcPr>
            <w:tcW w:w="3399" w:type="dxa"/>
            <w:gridSpan w:val="2"/>
            <w:tcBorders>
              <w:tl2br w:val="nil"/>
              <w:tr2bl w:val="nil"/>
            </w:tcBorders>
            <w:vAlign w:val="center"/>
          </w:tcPr>
          <w:p w14:paraId="15716165">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cs="宋体"/>
                <w:color w:val="auto"/>
                <w:kern w:val="0"/>
                <w:sz w:val="20"/>
                <w:szCs w:val="20"/>
              </w:rPr>
            </w:pPr>
            <w:r>
              <w:rPr>
                <w:rFonts w:hint="eastAsia" w:ascii="宋体" w:hAnsi="宋体" w:eastAsia="宋体" w:cs="宋体"/>
                <w:i w:val="0"/>
                <w:iCs w:val="0"/>
                <w:color w:val="auto"/>
                <w:kern w:val="0"/>
                <w:sz w:val="20"/>
                <w:szCs w:val="20"/>
                <w:u w:val="none"/>
                <w:lang w:val="en-US" w:eastAsia="zh-CN" w:bidi="ar"/>
              </w:rPr>
              <w:t>保证疫苗质量</w:t>
            </w:r>
          </w:p>
        </w:tc>
      </w:tr>
      <w:tr w14:paraId="588832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3" w:hRule="atLeast"/>
          <w:jc w:val="center"/>
        </w:trPr>
        <w:tc>
          <w:tcPr>
            <w:tcW w:w="438" w:type="dxa"/>
            <w:vMerge w:val="continue"/>
            <w:tcBorders>
              <w:tl2br w:val="nil"/>
              <w:tr2bl w:val="nil"/>
            </w:tcBorders>
            <w:vAlign w:val="center"/>
          </w:tcPr>
          <w:p w14:paraId="0AC9B193">
            <w:pPr>
              <w:keepNext w:val="0"/>
              <w:keepLines w:val="0"/>
              <w:pageBreakBefore w:val="0"/>
              <w:kinsoku/>
              <w:wordWrap/>
              <w:overflowPunct/>
              <w:topLinePunct w:val="0"/>
              <w:autoSpaceDE/>
              <w:autoSpaceDN/>
              <w:bidi w:val="0"/>
              <w:adjustRightInd/>
              <w:snapToGrid/>
              <w:spacing w:line="240" w:lineRule="auto"/>
              <w:jc w:val="center"/>
              <w:rPr>
                <w:rFonts w:ascii="宋体" w:cs="宋体"/>
                <w:color w:val="auto"/>
                <w:kern w:val="0"/>
                <w:sz w:val="20"/>
                <w:szCs w:val="20"/>
              </w:rPr>
            </w:pPr>
          </w:p>
        </w:tc>
        <w:tc>
          <w:tcPr>
            <w:tcW w:w="833" w:type="dxa"/>
            <w:vMerge w:val="continue"/>
            <w:tcBorders>
              <w:tl2br w:val="nil"/>
              <w:tr2bl w:val="nil"/>
            </w:tcBorders>
            <w:vAlign w:val="center"/>
          </w:tcPr>
          <w:p w14:paraId="0954C922">
            <w:pPr>
              <w:keepNext w:val="0"/>
              <w:keepLines w:val="0"/>
              <w:pageBreakBefore w:val="0"/>
              <w:kinsoku/>
              <w:wordWrap/>
              <w:overflowPunct/>
              <w:topLinePunct w:val="0"/>
              <w:autoSpaceDE/>
              <w:autoSpaceDN/>
              <w:bidi w:val="0"/>
              <w:adjustRightInd/>
              <w:snapToGrid/>
              <w:spacing w:line="240" w:lineRule="auto"/>
              <w:jc w:val="center"/>
              <w:rPr>
                <w:rFonts w:ascii="宋体" w:cs="宋体"/>
                <w:color w:val="auto"/>
                <w:kern w:val="0"/>
                <w:sz w:val="20"/>
                <w:szCs w:val="20"/>
              </w:rPr>
            </w:pPr>
          </w:p>
        </w:tc>
        <w:tc>
          <w:tcPr>
            <w:tcW w:w="1228" w:type="dxa"/>
            <w:gridSpan w:val="2"/>
            <w:vMerge w:val="continue"/>
            <w:tcBorders>
              <w:tl2br w:val="nil"/>
              <w:tr2bl w:val="nil"/>
            </w:tcBorders>
            <w:vAlign w:val="center"/>
          </w:tcPr>
          <w:p w14:paraId="60B522EA">
            <w:pPr>
              <w:keepNext w:val="0"/>
              <w:keepLines w:val="0"/>
              <w:pageBreakBefore w:val="0"/>
              <w:kinsoku/>
              <w:wordWrap/>
              <w:overflowPunct/>
              <w:topLinePunct w:val="0"/>
              <w:autoSpaceDE/>
              <w:autoSpaceDN/>
              <w:bidi w:val="0"/>
              <w:adjustRightInd/>
              <w:snapToGrid/>
              <w:spacing w:line="240" w:lineRule="auto"/>
              <w:jc w:val="center"/>
              <w:rPr>
                <w:rFonts w:ascii="宋体" w:cs="宋体"/>
                <w:color w:val="auto"/>
                <w:kern w:val="0"/>
                <w:sz w:val="20"/>
                <w:szCs w:val="20"/>
              </w:rPr>
            </w:pPr>
          </w:p>
        </w:tc>
        <w:tc>
          <w:tcPr>
            <w:tcW w:w="3122" w:type="dxa"/>
            <w:tcBorders>
              <w:tl2br w:val="nil"/>
              <w:tr2bl w:val="nil"/>
            </w:tcBorders>
            <w:vAlign w:val="center"/>
          </w:tcPr>
          <w:p w14:paraId="5D0DF3B1">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ascii="宋体" w:cs="宋体"/>
                <w:color w:val="auto"/>
                <w:kern w:val="0"/>
                <w:sz w:val="20"/>
                <w:szCs w:val="20"/>
              </w:rPr>
            </w:pPr>
            <w:r>
              <w:rPr>
                <w:rFonts w:hint="eastAsia" w:ascii="宋体" w:hAnsi="宋体" w:eastAsia="宋体" w:cs="宋体"/>
                <w:i w:val="0"/>
                <w:iCs w:val="0"/>
                <w:color w:val="auto"/>
                <w:kern w:val="0"/>
                <w:sz w:val="20"/>
                <w:szCs w:val="20"/>
                <w:u w:val="none"/>
                <w:lang w:val="en-US" w:eastAsia="zh-CN" w:bidi="ar"/>
              </w:rPr>
              <w:t>指标3：报告准确率</w:t>
            </w:r>
          </w:p>
        </w:tc>
        <w:tc>
          <w:tcPr>
            <w:tcW w:w="3399" w:type="dxa"/>
            <w:gridSpan w:val="2"/>
            <w:tcBorders>
              <w:tl2br w:val="nil"/>
              <w:tr2bl w:val="nil"/>
            </w:tcBorders>
            <w:vAlign w:val="center"/>
          </w:tcPr>
          <w:p w14:paraId="028F1634">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cs="宋体"/>
                <w:color w:val="auto"/>
                <w:kern w:val="0"/>
                <w:sz w:val="20"/>
                <w:szCs w:val="20"/>
              </w:rPr>
            </w:pPr>
            <w:r>
              <w:rPr>
                <w:rFonts w:hint="eastAsia" w:ascii="宋体" w:hAnsi="宋体" w:eastAsia="宋体" w:cs="宋体"/>
                <w:i w:val="0"/>
                <w:iCs w:val="0"/>
                <w:color w:val="auto"/>
                <w:kern w:val="0"/>
                <w:sz w:val="20"/>
                <w:szCs w:val="20"/>
                <w:u w:val="none"/>
                <w:lang w:val="en-US" w:eastAsia="zh-CN" w:bidi="ar"/>
              </w:rPr>
              <w:t>≥95%</w:t>
            </w:r>
          </w:p>
        </w:tc>
      </w:tr>
      <w:tr w14:paraId="68D6FF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3" w:hRule="atLeast"/>
          <w:jc w:val="center"/>
        </w:trPr>
        <w:tc>
          <w:tcPr>
            <w:tcW w:w="438" w:type="dxa"/>
            <w:vMerge w:val="continue"/>
            <w:tcBorders>
              <w:tl2br w:val="nil"/>
              <w:tr2bl w:val="nil"/>
            </w:tcBorders>
            <w:vAlign w:val="center"/>
          </w:tcPr>
          <w:p w14:paraId="7FEBB7C1">
            <w:pPr>
              <w:keepNext w:val="0"/>
              <w:keepLines w:val="0"/>
              <w:pageBreakBefore w:val="0"/>
              <w:kinsoku/>
              <w:wordWrap/>
              <w:overflowPunct/>
              <w:topLinePunct w:val="0"/>
              <w:autoSpaceDE/>
              <w:autoSpaceDN/>
              <w:bidi w:val="0"/>
              <w:adjustRightInd/>
              <w:snapToGrid/>
              <w:spacing w:line="240" w:lineRule="auto"/>
              <w:jc w:val="center"/>
              <w:rPr>
                <w:rFonts w:ascii="宋体" w:cs="宋体"/>
                <w:color w:val="auto"/>
                <w:kern w:val="0"/>
                <w:sz w:val="20"/>
                <w:szCs w:val="20"/>
              </w:rPr>
            </w:pPr>
          </w:p>
        </w:tc>
        <w:tc>
          <w:tcPr>
            <w:tcW w:w="833" w:type="dxa"/>
            <w:vMerge w:val="continue"/>
            <w:tcBorders>
              <w:tl2br w:val="nil"/>
              <w:tr2bl w:val="nil"/>
            </w:tcBorders>
            <w:vAlign w:val="center"/>
          </w:tcPr>
          <w:p w14:paraId="1096EB21">
            <w:pPr>
              <w:keepNext w:val="0"/>
              <w:keepLines w:val="0"/>
              <w:pageBreakBefore w:val="0"/>
              <w:kinsoku/>
              <w:wordWrap/>
              <w:overflowPunct/>
              <w:topLinePunct w:val="0"/>
              <w:autoSpaceDE/>
              <w:autoSpaceDN/>
              <w:bidi w:val="0"/>
              <w:adjustRightInd/>
              <w:snapToGrid/>
              <w:spacing w:line="240" w:lineRule="auto"/>
              <w:jc w:val="center"/>
              <w:rPr>
                <w:rFonts w:ascii="宋体" w:cs="宋体"/>
                <w:color w:val="auto"/>
                <w:kern w:val="0"/>
                <w:sz w:val="20"/>
                <w:szCs w:val="20"/>
              </w:rPr>
            </w:pPr>
          </w:p>
        </w:tc>
        <w:tc>
          <w:tcPr>
            <w:tcW w:w="1228" w:type="dxa"/>
            <w:gridSpan w:val="2"/>
            <w:tcBorders>
              <w:tl2br w:val="nil"/>
              <w:tr2bl w:val="nil"/>
            </w:tcBorders>
            <w:vAlign w:val="center"/>
          </w:tcPr>
          <w:p w14:paraId="1391FDA0">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ascii="宋体" w:cs="宋体"/>
                <w:color w:val="auto"/>
                <w:kern w:val="0"/>
                <w:sz w:val="20"/>
                <w:szCs w:val="20"/>
              </w:rPr>
            </w:pPr>
            <w:r>
              <w:rPr>
                <w:rFonts w:hint="eastAsia" w:ascii="宋体" w:hAnsi="宋体" w:eastAsia="宋体" w:cs="宋体"/>
                <w:color w:val="auto"/>
                <w:kern w:val="0"/>
                <w:sz w:val="20"/>
                <w:szCs w:val="20"/>
              </w:rPr>
              <w:t>时效指标</w:t>
            </w:r>
          </w:p>
        </w:tc>
        <w:tc>
          <w:tcPr>
            <w:tcW w:w="3122" w:type="dxa"/>
            <w:tcBorders>
              <w:tl2br w:val="nil"/>
              <w:tr2bl w:val="nil"/>
            </w:tcBorders>
            <w:vAlign w:val="center"/>
          </w:tcPr>
          <w:p w14:paraId="03FF40F8">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ascii="宋体" w:cs="宋体"/>
                <w:color w:val="auto"/>
                <w:kern w:val="0"/>
                <w:sz w:val="20"/>
                <w:szCs w:val="20"/>
              </w:rPr>
            </w:pPr>
            <w:r>
              <w:rPr>
                <w:rFonts w:hint="eastAsia" w:ascii="宋体" w:hAnsi="宋体" w:eastAsia="宋体" w:cs="宋体"/>
                <w:i w:val="0"/>
                <w:iCs w:val="0"/>
                <w:color w:val="auto"/>
                <w:kern w:val="0"/>
                <w:sz w:val="20"/>
                <w:szCs w:val="20"/>
                <w:u w:val="none"/>
                <w:lang w:val="en-US" w:eastAsia="zh-CN" w:bidi="ar"/>
              </w:rPr>
              <w:t>指标1：传染病的预防及控制</w:t>
            </w:r>
          </w:p>
        </w:tc>
        <w:tc>
          <w:tcPr>
            <w:tcW w:w="3399" w:type="dxa"/>
            <w:gridSpan w:val="2"/>
            <w:tcBorders>
              <w:tl2br w:val="nil"/>
              <w:tr2bl w:val="nil"/>
            </w:tcBorders>
            <w:vAlign w:val="center"/>
          </w:tcPr>
          <w:p w14:paraId="16AEBF57">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cs="宋体"/>
                <w:color w:val="auto"/>
                <w:kern w:val="0"/>
                <w:sz w:val="20"/>
                <w:szCs w:val="20"/>
              </w:rPr>
            </w:pPr>
            <w:r>
              <w:rPr>
                <w:rFonts w:hint="eastAsia" w:ascii="宋体" w:hAnsi="宋体" w:eastAsia="宋体" w:cs="宋体"/>
                <w:i w:val="0"/>
                <w:iCs w:val="0"/>
                <w:color w:val="auto"/>
                <w:kern w:val="0"/>
                <w:sz w:val="20"/>
                <w:szCs w:val="20"/>
                <w:u w:val="none"/>
                <w:lang w:val="en-US" w:eastAsia="zh-CN" w:bidi="ar"/>
              </w:rPr>
              <w:t>及时高效</w:t>
            </w:r>
          </w:p>
        </w:tc>
      </w:tr>
      <w:tr w14:paraId="2E6B81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3" w:hRule="atLeast"/>
          <w:jc w:val="center"/>
        </w:trPr>
        <w:tc>
          <w:tcPr>
            <w:tcW w:w="438" w:type="dxa"/>
            <w:vMerge w:val="continue"/>
            <w:tcBorders>
              <w:tl2br w:val="nil"/>
              <w:tr2bl w:val="nil"/>
            </w:tcBorders>
            <w:vAlign w:val="center"/>
          </w:tcPr>
          <w:p w14:paraId="0F1D01F8">
            <w:pPr>
              <w:keepNext w:val="0"/>
              <w:keepLines w:val="0"/>
              <w:pageBreakBefore w:val="0"/>
              <w:kinsoku/>
              <w:wordWrap/>
              <w:overflowPunct/>
              <w:topLinePunct w:val="0"/>
              <w:autoSpaceDE/>
              <w:autoSpaceDN/>
              <w:bidi w:val="0"/>
              <w:adjustRightInd/>
              <w:snapToGrid/>
              <w:spacing w:line="240" w:lineRule="auto"/>
              <w:jc w:val="center"/>
              <w:rPr>
                <w:rFonts w:ascii="宋体" w:cs="宋体"/>
                <w:color w:val="auto"/>
                <w:kern w:val="0"/>
                <w:sz w:val="20"/>
                <w:szCs w:val="20"/>
              </w:rPr>
            </w:pPr>
          </w:p>
        </w:tc>
        <w:tc>
          <w:tcPr>
            <w:tcW w:w="833" w:type="dxa"/>
            <w:vMerge w:val="continue"/>
            <w:tcBorders>
              <w:tl2br w:val="nil"/>
              <w:tr2bl w:val="nil"/>
            </w:tcBorders>
            <w:vAlign w:val="center"/>
          </w:tcPr>
          <w:p w14:paraId="507824A3">
            <w:pPr>
              <w:keepNext w:val="0"/>
              <w:keepLines w:val="0"/>
              <w:pageBreakBefore w:val="0"/>
              <w:kinsoku/>
              <w:wordWrap/>
              <w:overflowPunct/>
              <w:topLinePunct w:val="0"/>
              <w:autoSpaceDE/>
              <w:autoSpaceDN/>
              <w:bidi w:val="0"/>
              <w:adjustRightInd/>
              <w:snapToGrid/>
              <w:spacing w:line="240" w:lineRule="auto"/>
              <w:jc w:val="center"/>
              <w:rPr>
                <w:rFonts w:ascii="宋体" w:cs="宋体"/>
                <w:color w:val="auto"/>
                <w:kern w:val="0"/>
                <w:sz w:val="20"/>
                <w:szCs w:val="20"/>
              </w:rPr>
            </w:pPr>
          </w:p>
        </w:tc>
        <w:tc>
          <w:tcPr>
            <w:tcW w:w="1228" w:type="dxa"/>
            <w:gridSpan w:val="2"/>
            <w:tcBorders>
              <w:tl2br w:val="nil"/>
              <w:tr2bl w:val="nil"/>
            </w:tcBorders>
            <w:vAlign w:val="center"/>
          </w:tcPr>
          <w:p w14:paraId="67308178">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ascii="宋体" w:cs="宋体"/>
                <w:color w:val="auto"/>
                <w:kern w:val="0"/>
                <w:sz w:val="20"/>
                <w:szCs w:val="20"/>
              </w:rPr>
            </w:pPr>
            <w:r>
              <w:rPr>
                <w:rFonts w:hint="eastAsia" w:ascii="宋体" w:hAnsi="宋体" w:eastAsia="宋体" w:cs="宋体"/>
                <w:color w:val="auto"/>
                <w:kern w:val="0"/>
                <w:sz w:val="20"/>
                <w:szCs w:val="20"/>
              </w:rPr>
              <w:t>成本指标</w:t>
            </w:r>
          </w:p>
        </w:tc>
        <w:tc>
          <w:tcPr>
            <w:tcW w:w="3122" w:type="dxa"/>
            <w:tcBorders>
              <w:tl2br w:val="nil"/>
              <w:tr2bl w:val="nil"/>
            </w:tcBorders>
            <w:vAlign w:val="center"/>
          </w:tcPr>
          <w:p w14:paraId="7D9747FA">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ascii="宋体" w:cs="宋体"/>
                <w:color w:val="auto"/>
                <w:kern w:val="0"/>
                <w:sz w:val="20"/>
                <w:szCs w:val="20"/>
              </w:rPr>
            </w:pPr>
            <w:r>
              <w:rPr>
                <w:rFonts w:hint="eastAsia" w:ascii="宋体" w:hAnsi="宋体" w:eastAsia="宋体" w:cs="宋体"/>
                <w:i w:val="0"/>
                <w:iCs w:val="0"/>
                <w:color w:val="auto"/>
                <w:kern w:val="0"/>
                <w:sz w:val="20"/>
                <w:szCs w:val="20"/>
                <w:u w:val="none"/>
                <w:lang w:val="en-US" w:eastAsia="zh-CN" w:bidi="ar"/>
              </w:rPr>
              <w:t>指标1：项目总经费</w:t>
            </w:r>
          </w:p>
        </w:tc>
        <w:tc>
          <w:tcPr>
            <w:tcW w:w="3399" w:type="dxa"/>
            <w:gridSpan w:val="2"/>
            <w:tcBorders>
              <w:tl2br w:val="nil"/>
              <w:tr2bl w:val="nil"/>
            </w:tcBorders>
            <w:vAlign w:val="center"/>
          </w:tcPr>
          <w:p w14:paraId="3CA36483">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cs="宋体"/>
                <w:color w:val="auto"/>
                <w:kern w:val="0"/>
                <w:sz w:val="20"/>
                <w:szCs w:val="20"/>
              </w:rPr>
            </w:pPr>
            <w:r>
              <w:rPr>
                <w:rFonts w:hint="eastAsia" w:ascii="宋体" w:hAnsi="宋体" w:eastAsia="宋体" w:cs="宋体"/>
                <w:i w:val="0"/>
                <w:iCs w:val="0"/>
                <w:color w:val="auto"/>
                <w:kern w:val="0"/>
                <w:sz w:val="20"/>
                <w:szCs w:val="20"/>
                <w:u w:val="none"/>
                <w:lang w:val="en-US" w:eastAsia="zh-CN" w:bidi="ar"/>
              </w:rPr>
              <w:t>≤30万元</w:t>
            </w:r>
          </w:p>
        </w:tc>
      </w:tr>
      <w:tr w14:paraId="338F1D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3" w:hRule="atLeast"/>
          <w:jc w:val="center"/>
        </w:trPr>
        <w:tc>
          <w:tcPr>
            <w:tcW w:w="438" w:type="dxa"/>
            <w:vMerge w:val="continue"/>
            <w:tcBorders>
              <w:tl2br w:val="nil"/>
              <w:tr2bl w:val="nil"/>
            </w:tcBorders>
            <w:vAlign w:val="center"/>
          </w:tcPr>
          <w:p w14:paraId="2D2B1073">
            <w:pPr>
              <w:keepNext w:val="0"/>
              <w:keepLines w:val="0"/>
              <w:pageBreakBefore w:val="0"/>
              <w:kinsoku/>
              <w:wordWrap/>
              <w:overflowPunct/>
              <w:topLinePunct w:val="0"/>
              <w:autoSpaceDE/>
              <w:autoSpaceDN/>
              <w:bidi w:val="0"/>
              <w:adjustRightInd/>
              <w:snapToGrid/>
              <w:spacing w:line="240" w:lineRule="auto"/>
              <w:jc w:val="center"/>
              <w:rPr>
                <w:rFonts w:ascii="宋体" w:cs="宋体"/>
                <w:color w:val="auto"/>
                <w:kern w:val="0"/>
                <w:sz w:val="20"/>
                <w:szCs w:val="20"/>
              </w:rPr>
            </w:pPr>
          </w:p>
        </w:tc>
        <w:tc>
          <w:tcPr>
            <w:tcW w:w="833" w:type="dxa"/>
            <w:vMerge w:val="restart"/>
            <w:tcBorders>
              <w:tl2br w:val="nil"/>
              <w:tr2bl w:val="nil"/>
            </w:tcBorders>
            <w:vAlign w:val="center"/>
          </w:tcPr>
          <w:p w14:paraId="1F6CFBEB">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ascii="宋体" w:cs="宋体"/>
                <w:color w:val="auto"/>
                <w:kern w:val="0"/>
                <w:sz w:val="20"/>
                <w:szCs w:val="20"/>
              </w:rPr>
            </w:pPr>
            <w:r>
              <w:rPr>
                <w:rFonts w:hint="eastAsia" w:ascii="宋体" w:hAnsi="宋体" w:eastAsia="宋体" w:cs="宋体"/>
                <w:color w:val="auto"/>
                <w:kern w:val="0"/>
                <w:sz w:val="20"/>
                <w:szCs w:val="20"/>
              </w:rPr>
              <w:t>效益指标</w:t>
            </w:r>
          </w:p>
        </w:tc>
        <w:tc>
          <w:tcPr>
            <w:tcW w:w="1228" w:type="dxa"/>
            <w:gridSpan w:val="2"/>
            <w:tcBorders>
              <w:tl2br w:val="nil"/>
              <w:tr2bl w:val="nil"/>
            </w:tcBorders>
            <w:vAlign w:val="center"/>
          </w:tcPr>
          <w:p w14:paraId="0A470068">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ascii="宋体" w:cs="宋体"/>
                <w:color w:val="auto"/>
                <w:kern w:val="0"/>
                <w:sz w:val="20"/>
                <w:szCs w:val="20"/>
              </w:rPr>
            </w:pPr>
            <w:r>
              <w:rPr>
                <w:rFonts w:hint="eastAsia" w:ascii="宋体" w:hAnsi="宋体" w:eastAsia="宋体" w:cs="宋体"/>
                <w:color w:val="auto"/>
                <w:kern w:val="0"/>
                <w:sz w:val="20"/>
                <w:szCs w:val="20"/>
              </w:rPr>
              <w:t>经济效益指标</w:t>
            </w:r>
          </w:p>
        </w:tc>
        <w:tc>
          <w:tcPr>
            <w:tcW w:w="3122" w:type="dxa"/>
            <w:tcBorders>
              <w:tl2br w:val="nil"/>
              <w:tr2bl w:val="nil"/>
            </w:tcBorders>
            <w:vAlign w:val="center"/>
          </w:tcPr>
          <w:p w14:paraId="3080724D">
            <w:pPr>
              <w:keepNext w:val="0"/>
              <w:keepLines w:val="0"/>
              <w:widowControl/>
              <w:suppressLineNumbers w:val="0"/>
              <w:jc w:val="left"/>
              <w:textAlignment w:val="center"/>
              <w:rPr>
                <w:rFonts w:ascii="宋体" w:cs="宋体"/>
                <w:color w:val="auto"/>
                <w:kern w:val="0"/>
                <w:sz w:val="20"/>
                <w:szCs w:val="20"/>
              </w:rPr>
            </w:pPr>
            <w:r>
              <w:rPr>
                <w:rFonts w:hint="eastAsia" w:ascii="宋体" w:hAnsi="宋体" w:eastAsia="宋体" w:cs="宋体"/>
                <w:i w:val="0"/>
                <w:iCs w:val="0"/>
                <w:color w:val="auto"/>
                <w:kern w:val="0"/>
                <w:sz w:val="20"/>
                <w:szCs w:val="20"/>
                <w:u w:val="none"/>
                <w:lang w:val="en-US" w:eastAsia="zh-CN" w:bidi="ar"/>
              </w:rPr>
              <w:t>指标1：节省社会资源</w:t>
            </w:r>
          </w:p>
        </w:tc>
        <w:tc>
          <w:tcPr>
            <w:tcW w:w="3399" w:type="dxa"/>
            <w:gridSpan w:val="2"/>
            <w:tcBorders>
              <w:tl2br w:val="nil"/>
              <w:tr2bl w:val="nil"/>
            </w:tcBorders>
            <w:vAlign w:val="center"/>
          </w:tcPr>
          <w:p w14:paraId="4A218D81">
            <w:pPr>
              <w:keepNext w:val="0"/>
              <w:keepLines w:val="0"/>
              <w:widowControl/>
              <w:suppressLineNumbers w:val="0"/>
              <w:jc w:val="center"/>
              <w:textAlignment w:val="center"/>
              <w:rPr>
                <w:rFonts w:hint="eastAsia" w:ascii="宋体" w:cs="宋体" w:eastAsiaTheme="minorEastAsia"/>
                <w:color w:val="auto"/>
                <w:kern w:val="0"/>
                <w:sz w:val="20"/>
                <w:szCs w:val="20"/>
                <w:lang w:val="en-US" w:eastAsia="zh-CN"/>
              </w:rPr>
            </w:pPr>
            <w:r>
              <w:rPr>
                <w:rFonts w:hint="eastAsia" w:ascii="宋体" w:hAnsi="宋体" w:eastAsia="宋体" w:cs="宋体"/>
                <w:i w:val="0"/>
                <w:iCs w:val="0"/>
                <w:color w:val="auto"/>
                <w:kern w:val="0"/>
                <w:sz w:val="20"/>
                <w:szCs w:val="20"/>
                <w:u w:val="none"/>
                <w:lang w:val="en-US" w:eastAsia="zh-CN" w:bidi="ar"/>
              </w:rPr>
              <w:t>较高</w:t>
            </w:r>
          </w:p>
        </w:tc>
      </w:tr>
      <w:tr w14:paraId="068E80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3" w:hRule="atLeast"/>
          <w:jc w:val="center"/>
        </w:trPr>
        <w:tc>
          <w:tcPr>
            <w:tcW w:w="438" w:type="dxa"/>
            <w:vMerge w:val="continue"/>
            <w:tcBorders>
              <w:tl2br w:val="nil"/>
              <w:tr2bl w:val="nil"/>
            </w:tcBorders>
            <w:vAlign w:val="center"/>
          </w:tcPr>
          <w:p w14:paraId="35011C8C">
            <w:pPr>
              <w:keepNext w:val="0"/>
              <w:keepLines w:val="0"/>
              <w:pageBreakBefore w:val="0"/>
              <w:kinsoku/>
              <w:wordWrap/>
              <w:overflowPunct/>
              <w:topLinePunct w:val="0"/>
              <w:autoSpaceDE/>
              <w:autoSpaceDN/>
              <w:bidi w:val="0"/>
              <w:adjustRightInd/>
              <w:snapToGrid/>
              <w:spacing w:line="240" w:lineRule="auto"/>
              <w:jc w:val="center"/>
              <w:rPr>
                <w:rFonts w:ascii="宋体" w:cs="宋体"/>
                <w:color w:val="auto"/>
                <w:kern w:val="0"/>
                <w:sz w:val="20"/>
                <w:szCs w:val="20"/>
              </w:rPr>
            </w:pPr>
          </w:p>
        </w:tc>
        <w:tc>
          <w:tcPr>
            <w:tcW w:w="833" w:type="dxa"/>
            <w:vMerge w:val="continue"/>
            <w:tcBorders>
              <w:tl2br w:val="nil"/>
              <w:tr2bl w:val="nil"/>
            </w:tcBorders>
            <w:vAlign w:val="center"/>
          </w:tcPr>
          <w:p w14:paraId="1E532305">
            <w:pPr>
              <w:keepNext w:val="0"/>
              <w:keepLines w:val="0"/>
              <w:pageBreakBefore w:val="0"/>
              <w:kinsoku/>
              <w:wordWrap/>
              <w:overflowPunct/>
              <w:topLinePunct w:val="0"/>
              <w:autoSpaceDE/>
              <w:autoSpaceDN/>
              <w:bidi w:val="0"/>
              <w:adjustRightInd/>
              <w:snapToGrid/>
              <w:spacing w:line="240" w:lineRule="auto"/>
              <w:jc w:val="center"/>
              <w:rPr>
                <w:rFonts w:ascii="宋体" w:cs="宋体"/>
                <w:color w:val="auto"/>
                <w:kern w:val="0"/>
                <w:sz w:val="20"/>
                <w:szCs w:val="20"/>
              </w:rPr>
            </w:pPr>
          </w:p>
        </w:tc>
        <w:tc>
          <w:tcPr>
            <w:tcW w:w="1228" w:type="dxa"/>
            <w:gridSpan w:val="2"/>
            <w:tcBorders>
              <w:tl2br w:val="nil"/>
              <w:tr2bl w:val="nil"/>
            </w:tcBorders>
            <w:vAlign w:val="center"/>
          </w:tcPr>
          <w:p w14:paraId="6AA1D864">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ascii="宋体" w:cs="宋体"/>
                <w:color w:val="auto"/>
                <w:kern w:val="0"/>
                <w:sz w:val="20"/>
                <w:szCs w:val="20"/>
              </w:rPr>
            </w:pPr>
            <w:r>
              <w:rPr>
                <w:rFonts w:hint="eastAsia" w:ascii="宋体" w:hAnsi="宋体" w:eastAsia="宋体" w:cs="宋体"/>
                <w:color w:val="auto"/>
                <w:kern w:val="0"/>
                <w:sz w:val="20"/>
                <w:szCs w:val="20"/>
              </w:rPr>
              <w:t>社会效益指标</w:t>
            </w:r>
          </w:p>
        </w:tc>
        <w:tc>
          <w:tcPr>
            <w:tcW w:w="3122" w:type="dxa"/>
            <w:tcBorders>
              <w:tl2br w:val="nil"/>
              <w:tr2bl w:val="nil"/>
            </w:tcBorders>
            <w:vAlign w:val="center"/>
          </w:tcPr>
          <w:p w14:paraId="76CFBB99">
            <w:pPr>
              <w:keepNext w:val="0"/>
              <w:keepLines w:val="0"/>
              <w:widowControl/>
              <w:suppressLineNumbers w:val="0"/>
              <w:jc w:val="left"/>
              <w:textAlignment w:val="center"/>
              <w:rPr>
                <w:rFonts w:ascii="宋体" w:cs="宋体"/>
                <w:color w:val="auto"/>
                <w:kern w:val="0"/>
                <w:sz w:val="20"/>
                <w:szCs w:val="20"/>
              </w:rPr>
            </w:pPr>
            <w:r>
              <w:rPr>
                <w:rFonts w:hint="eastAsia" w:ascii="宋体" w:hAnsi="宋体" w:eastAsia="宋体" w:cs="宋体"/>
                <w:i w:val="0"/>
                <w:iCs w:val="0"/>
                <w:color w:val="auto"/>
                <w:kern w:val="0"/>
                <w:sz w:val="20"/>
                <w:szCs w:val="20"/>
                <w:u w:val="none"/>
                <w:lang w:val="en-US" w:eastAsia="zh-CN" w:bidi="ar"/>
              </w:rPr>
              <w:t>指标1：保障人民身体健康</w:t>
            </w:r>
          </w:p>
        </w:tc>
        <w:tc>
          <w:tcPr>
            <w:tcW w:w="3399" w:type="dxa"/>
            <w:gridSpan w:val="2"/>
            <w:tcBorders>
              <w:tl2br w:val="nil"/>
              <w:tr2bl w:val="nil"/>
            </w:tcBorders>
            <w:vAlign w:val="center"/>
          </w:tcPr>
          <w:p w14:paraId="44A9AC07">
            <w:pPr>
              <w:keepNext w:val="0"/>
              <w:keepLines w:val="0"/>
              <w:widowControl/>
              <w:suppressLineNumbers w:val="0"/>
              <w:jc w:val="center"/>
              <w:textAlignment w:val="center"/>
              <w:rPr>
                <w:rFonts w:hint="default" w:ascii="宋体" w:cs="宋体" w:eastAsiaTheme="minorEastAsia"/>
                <w:color w:val="auto"/>
                <w:kern w:val="0"/>
                <w:sz w:val="20"/>
                <w:szCs w:val="20"/>
                <w:lang w:val="en-US" w:eastAsia="zh-CN"/>
              </w:rPr>
            </w:pPr>
            <w:r>
              <w:rPr>
                <w:rFonts w:hint="eastAsia" w:ascii="宋体" w:hAnsi="宋体" w:eastAsia="宋体" w:cs="宋体"/>
                <w:i w:val="0"/>
                <w:iCs w:val="0"/>
                <w:color w:val="auto"/>
                <w:kern w:val="0"/>
                <w:sz w:val="20"/>
                <w:szCs w:val="20"/>
                <w:u w:val="none"/>
                <w:lang w:val="en-US" w:eastAsia="zh-CN" w:bidi="ar"/>
              </w:rPr>
              <w:t>较高</w:t>
            </w:r>
          </w:p>
        </w:tc>
      </w:tr>
      <w:tr w14:paraId="1D51F0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3" w:hRule="atLeast"/>
          <w:jc w:val="center"/>
        </w:trPr>
        <w:tc>
          <w:tcPr>
            <w:tcW w:w="438" w:type="dxa"/>
            <w:vMerge w:val="continue"/>
            <w:tcBorders>
              <w:tl2br w:val="nil"/>
              <w:tr2bl w:val="nil"/>
            </w:tcBorders>
            <w:vAlign w:val="center"/>
          </w:tcPr>
          <w:p w14:paraId="7D33E5C6">
            <w:pPr>
              <w:keepNext w:val="0"/>
              <w:keepLines w:val="0"/>
              <w:pageBreakBefore w:val="0"/>
              <w:kinsoku/>
              <w:wordWrap/>
              <w:overflowPunct/>
              <w:topLinePunct w:val="0"/>
              <w:autoSpaceDE/>
              <w:autoSpaceDN/>
              <w:bidi w:val="0"/>
              <w:adjustRightInd/>
              <w:snapToGrid/>
              <w:spacing w:line="240" w:lineRule="auto"/>
              <w:jc w:val="center"/>
              <w:rPr>
                <w:rFonts w:ascii="宋体" w:cs="宋体"/>
                <w:color w:val="auto"/>
                <w:kern w:val="0"/>
                <w:sz w:val="20"/>
                <w:szCs w:val="20"/>
              </w:rPr>
            </w:pPr>
          </w:p>
        </w:tc>
        <w:tc>
          <w:tcPr>
            <w:tcW w:w="833" w:type="dxa"/>
            <w:vMerge w:val="continue"/>
            <w:tcBorders>
              <w:tl2br w:val="nil"/>
              <w:tr2bl w:val="nil"/>
            </w:tcBorders>
            <w:vAlign w:val="center"/>
          </w:tcPr>
          <w:p w14:paraId="7CF36BF9">
            <w:pPr>
              <w:keepNext w:val="0"/>
              <w:keepLines w:val="0"/>
              <w:pageBreakBefore w:val="0"/>
              <w:kinsoku/>
              <w:wordWrap/>
              <w:overflowPunct/>
              <w:topLinePunct w:val="0"/>
              <w:autoSpaceDE/>
              <w:autoSpaceDN/>
              <w:bidi w:val="0"/>
              <w:adjustRightInd/>
              <w:snapToGrid/>
              <w:spacing w:line="240" w:lineRule="auto"/>
              <w:jc w:val="center"/>
              <w:rPr>
                <w:rFonts w:ascii="宋体" w:cs="宋体"/>
                <w:color w:val="auto"/>
                <w:kern w:val="0"/>
                <w:sz w:val="20"/>
                <w:szCs w:val="20"/>
              </w:rPr>
            </w:pPr>
          </w:p>
        </w:tc>
        <w:tc>
          <w:tcPr>
            <w:tcW w:w="1228" w:type="dxa"/>
            <w:gridSpan w:val="2"/>
            <w:tcBorders>
              <w:tl2br w:val="nil"/>
              <w:tr2bl w:val="nil"/>
            </w:tcBorders>
            <w:vAlign w:val="center"/>
          </w:tcPr>
          <w:p w14:paraId="6F4D4B48">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ascii="宋体" w:cs="宋体"/>
                <w:color w:val="auto"/>
                <w:kern w:val="0"/>
                <w:sz w:val="20"/>
                <w:szCs w:val="20"/>
              </w:rPr>
            </w:pPr>
            <w:r>
              <w:rPr>
                <w:rFonts w:hint="eastAsia" w:ascii="宋体" w:hAnsi="宋体" w:eastAsia="宋体" w:cs="宋体"/>
                <w:color w:val="auto"/>
                <w:kern w:val="0"/>
                <w:sz w:val="20"/>
                <w:szCs w:val="20"/>
              </w:rPr>
              <w:t>生态效益指标</w:t>
            </w:r>
          </w:p>
        </w:tc>
        <w:tc>
          <w:tcPr>
            <w:tcW w:w="3122" w:type="dxa"/>
            <w:tcBorders>
              <w:tl2br w:val="nil"/>
              <w:tr2bl w:val="nil"/>
            </w:tcBorders>
            <w:vAlign w:val="center"/>
          </w:tcPr>
          <w:p w14:paraId="49FCE875">
            <w:pPr>
              <w:keepNext w:val="0"/>
              <w:keepLines w:val="0"/>
              <w:widowControl/>
              <w:suppressLineNumbers w:val="0"/>
              <w:jc w:val="left"/>
              <w:textAlignment w:val="center"/>
              <w:rPr>
                <w:rFonts w:ascii="宋体" w:cs="宋体"/>
                <w:color w:val="auto"/>
                <w:kern w:val="0"/>
                <w:sz w:val="20"/>
                <w:szCs w:val="20"/>
              </w:rPr>
            </w:pPr>
            <w:r>
              <w:rPr>
                <w:rFonts w:hint="eastAsia" w:ascii="宋体" w:hAnsi="宋体" w:eastAsia="宋体" w:cs="宋体"/>
                <w:i w:val="0"/>
                <w:iCs w:val="0"/>
                <w:color w:val="auto"/>
                <w:kern w:val="0"/>
                <w:sz w:val="20"/>
                <w:szCs w:val="20"/>
                <w:u w:val="none"/>
                <w:lang w:val="en-US" w:eastAsia="zh-CN" w:bidi="ar"/>
              </w:rPr>
              <w:t>指标1：保护环境、减少污染</w:t>
            </w:r>
          </w:p>
        </w:tc>
        <w:tc>
          <w:tcPr>
            <w:tcW w:w="3399" w:type="dxa"/>
            <w:gridSpan w:val="2"/>
            <w:tcBorders>
              <w:tl2br w:val="nil"/>
              <w:tr2bl w:val="nil"/>
            </w:tcBorders>
            <w:vAlign w:val="center"/>
          </w:tcPr>
          <w:p w14:paraId="199C276B">
            <w:pPr>
              <w:keepNext w:val="0"/>
              <w:keepLines w:val="0"/>
              <w:widowControl/>
              <w:suppressLineNumbers w:val="0"/>
              <w:jc w:val="center"/>
              <w:textAlignment w:val="center"/>
              <w:rPr>
                <w:rFonts w:ascii="宋体" w:cs="宋体"/>
                <w:color w:val="auto"/>
                <w:kern w:val="0"/>
                <w:sz w:val="20"/>
                <w:szCs w:val="20"/>
              </w:rPr>
            </w:pPr>
            <w:r>
              <w:rPr>
                <w:rFonts w:hint="eastAsia" w:ascii="宋体" w:hAnsi="宋体" w:eastAsia="宋体" w:cs="宋体"/>
                <w:i w:val="0"/>
                <w:iCs w:val="0"/>
                <w:color w:val="auto"/>
                <w:kern w:val="0"/>
                <w:sz w:val="20"/>
                <w:szCs w:val="20"/>
                <w:u w:val="none"/>
                <w:lang w:val="en-US" w:eastAsia="zh-CN" w:bidi="ar"/>
              </w:rPr>
              <w:t>较高</w:t>
            </w:r>
          </w:p>
        </w:tc>
      </w:tr>
      <w:tr w14:paraId="0EAFEC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jc w:val="center"/>
        </w:trPr>
        <w:tc>
          <w:tcPr>
            <w:tcW w:w="438" w:type="dxa"/>
            <w:vMerge w:val="continue"/>
            <w:tcBorders>
              <w:tl2br w:val="nil"/>
              <w:tr2bl w:val="nil"/>
            </w:tcBorders>
            <w:vAlign w:val="center"/>
          </w:tcPr>
          <w:p w14:paraId="436883D0">
            <w:pPr>
              <w:keepNext w:val="0"/>
              <w:keepLines w:val="0"/>
              <w:pageBreakBefore w:val="0"/>
              <w:kinsoku/>
              <w:wordWrap/>
              <w:overflowPunct/>
              <w:topLinePunct w:val="0"/>
              <w:autoSpaceDE/>
              <w:autoSpaceDN/>
              <w:bidi w:val="0"/>
              <w:adjustRightInd/>
              <w:snapToGrid/>
              <w:spacing w:line="240" w:lineRule="auto"/>
              <w:jc w:val="center"/>
              <w:rPr>
                <w:rFonts w:ascii="宋体" w:cs="宋体"/>
                <w:color w:val="auto"/>
                <w:kern w:val="0"/>
                <w:sz w:val="20"/>
                <w:szCs w:val="20"/>
              </w:rPr>
            </w:pPr>
          </w:p>
        </w:tc>
        <w:tc>
          <w:tcPr>
            <w:tcW w:w="833" w:type="dxa"/>
            <w:vMerge w:val="continue"/>
            <w:tcBorders>
              <w:tl2br w:val="nil"/>
              <w:tr2bl w:val="nil"/>
            </w:tcBorders>
            <w:vAlign w:val="center"/>
          </w:tcPr>
          <w:p w14:paraId="302227A2">
            <w:pPr>
              <w:keepNext w:val="0"/>
              <w:keepLines w:val="0"/>
              <w:pageBreakBefore w:val="0"/>
              <w:kinsoku/>
              <w:wordWrap/>
              <w:overflowPunct/>
              <w:topLinePunct w:val="0"/>
              <w:autoSpaceDE/>
              <w:autoSpaceDN/>
              <w:bidi w:val="0"/>
              <w:adjustRightInd/>
              <w:snapToGrid/>
              <w:spacing w:line="240" w:lineRule="auto"/>
              <w:jc w:val="center"/>
              <w:rPr>
                <w:rFonts w:ascii="宋体" w:cs="宋体"/>
                <w:color w:val="auto"/>
                <w:kern w:val="0"/>
                <w:sz w:val="20"/>
                <w:szCs w:val="20"/>
              </w:rPr>
            </w:pPr>
          </w:p>
        </w:tc>
        <w:tc>
          <w:tcPr>
            <w:tcW w:w="1228" w:type="dxa"/>
            <w:gridSpan w:val="2"/>
            <w:tcBorders>
              <w:tl2br w:val="nil"/>
              <w:tr2bl w:val="nil"/>
            </w:tcBorders>
            <w:vAlign w:val="center"/>
          </w:tcPr>
          <w:p w14:paraId="0077DAE4">
            <w:pPr>
              <w:keepNext w:val="0"/>
              <w:keepLines w:val="0"/>
              <w:pageBreakBefore w:val="0"/>
              <w:widowControl/>
              <w:kinsoku/>
              <w:wordWrap/>
              <w:overflowPunct/>
              <w:topLinePunct w:val="0"/>
              <w:autoSpaceDE/>
              <w:autoSpaceDN/>
              <w:bidi w:val="0"/>
              <w:adjustRightInd/>
              <w:snapToGrid/>
              <w:spacing w:line="240" w:lineRule="auto"/>
              <w:jc w:val="center"/>
              <w:rPr>
                <w:rFonts w:ascii="宋体" w:hAnsi="宋体" w:eastAsia="宋体" w:cs="宋体"/>
                <w:color w:val="auto"/>
                <w:kern w:val="0"/>
                <w:sz w:val="20"/>
                <w:szCs w:val="20"/>
              </w:rPr>
            </w:pPr>
            <w:r>
              <w:rPr>
                <w:rFonts w:hint="eastAsia" w:ascii="宋体" w:hAnsi="宋体" w:eastAsia="宋体" w:cs="宋体"/>
                <w:color w:val="auto"/>
                <w:kern w:val="0"/>
                <w:sz w:val="20"/>
                <w:szCs w:val="20"/>
              </w:rPr>
              <w:t>可持续影响指标</w:t>
            </w:r>
          </w:p>
        </w:tc>
        <w:tc>
          <w:tcPr>
            <w:tcW w:w="3122" w:type="dxa"/>
            <w:tcBorders>
              <w:tl2br w:val="nil"/>
              <w:tr2bl w:val="nil"/>
            </w:tcBorders>
            <w:vAlign w:val="center"/>
          </w:tcPr>
          <w:p w14:paraId="3A6943CE">
            <w:pPr>
              <w:keepNext w:val="0"/>
              <w:keepLines w:val="0"/>
              <w:widowControl/>
              <w:suppressLineNumbers w:val="0"/>
              <w:jc w:val="left"/>
              <w:textAlignment w:val="center"/>
              <w:rPr>
                <w:rFonts w:ascii="宋体" w:hAnsi="宋体" w:eastAsia="宋体" w:cs="宋体"/>
                <w:color w:val="auto"/>
                <w:kern w:val="0"/>
                <w:sz w:val="20"/>
                <w:szCs w:val="20"/>
              </w:rPr>
            </w:pPr>
            <w:r>
              <w:rPr>
                <w:rFonts w:hint="eastAsia" w:ascii="宋体" w:hAnsi="宋体" w:eastAsia="宋体" w:cs="宋体"/>
                <w:i w:val="0"/>
                <w:iCs w:val="0"/>
                <w:color w:val="auto"/>
                <w:kern w:val="0"/>
                <w:sz w:val="20"/>
                <w:szCs w:val="20"/>
                <w:u w:val="none"/>
                <w:lang w:val="en-US" w:eastAsia="zh-CN" w:bidi="ar"/>
              </w:rPr>
              <w:t>指标1：减少传染病发生、提高国民素质</w:t>
            </w:r>
          </w:p>
        </w:tc>
        <w:tc>
          <w:tcPr>
            <w:tcW w:w="3399" w:type="dxa"/>
            <w:gridSpan w:val="2"/>
            <w:tcBorders>
              <w:tl2br w:val="nil"/>
              <w:tr2bl w:val="nil"/>
            </w:tcBorders>
            <w:vAlign w:val="center"/>
          </w:tcPr>
          <w:p w14:paraId="5153DF7B">
            <w:pPr>
              <w:keepNext w:val="0"/>
              <w:keepLines w:val="0"/>
              <w:widowControl/>
              <w:suppressLineNumbers w:val="0"/>
              <w:jc w:val="center"/>
              <w:textAlignment w:val="center"/>
              <w:rPr>
                <w:rFonts w:ascii="宋体" w:cs="宋体"/>
                <w:color w:val="auto"/>
                <w:kern w:val="0"/>
                <w:sz w:val="20"/>
                <w:szCs w:val="20"/>
              </w:rPr>
            </w:pPr>
            <w:r>
              <w:rPr>
                <w:rFonts w:hint="eastAsia" w:ascii="宋体" w:hAnsi="宋体" w:eastAsia="宋体" w:cs="宋体"/>
                <w:i w:val="0"/>
                <w:iCs w:val="0"/>
                <w:color w:val="auto"/>
                <w:kern w:val="0"/>
                <w:sz w:val="20"/>
                <w:szCs w:val="20"/>
                <w:u w:val="none"/>
                <w:lang w:val="en-US" w:eastAsia="zh-CN" w:bidi="ar"/>
              </w:rPr>
              <w:t>较高</w:t>
            </w:r>
          </w:p>
        </w:tc>
      </w:tr>
      <w:tr w14:paraId="495D2C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3" w:hRule="atLeast"/>
          <w:jc w:val="center"/>
        </w:trPr>
        <w:tc>
          <w:tcPr>
            <w:tcW w:w="438" w:type="dxa"/>
            <w:vMerge w:val="continue"/>
            <w:tcBorders>
              <w:tl2br w:val="nil"/>
              <w:tr2bl w:val="nil"/>
            </w:tcBorders>
            <w:vAlign w:val="center"/>
          </w:tcPr>
          <w:p w14:paraId="018E1199">
            <w:pPr>
              <w:keepNext w:val="0"/>
              <w:keepLines w:val="0"/>
              <w:pageBreakBefore w:val="0"/>
              <w:kinsoku/>
              <w:wordWrap/>
              <w:overflowPunct/>
              <w:topLinePunct w:val="0"/>
              <w:autoSpaceDE/>
              <w:autoSpaceDN/>
              <w:bidi w:val="0"/>
              <w:adjustRightInd/>
              <w:snapToGrid/>
              <w:spacing w:line="240" w:lineRule="auto"/>
              <w:jc w:val="center"/>
              <w:rPr>
                <w:rFonts w:ascii="宋体" w:cs="宋体"/>
                <w:color w:val="auto"/>
                <w:kern w:val="0"/>
                <w:sz w:val="20"/>
                <w:szCs w:val="20"/>
              </w:rPr>
            </w:pPr>
          </w:p>
        </w:tc>
        <w:tc>
          <w:tcPr>
            <w:tcW w:w="833" w:type="dxa"/>
            <w:tcBorders>
              <w:tl2br w:val="nil"/>
              <w:tr2bl w:val="nil"/>
            </w:tcBorders>
            <w:vAlign w:val="center"/>
          </w:tcPr>
          <w:p w14:paraId="4C72ECE4">
            <w:pPr>
              <w:keepNext w:val="0"/>
              <w:keepLines w:val="0"/>
              <w:pageBreakBefore w:val="0"/>
              <w:widowControl/>
              <w:kinsoku/>
              <w:wordWrap/>
              <w:overflowPunct/>
              <w:topLinePunct w:val="0"/>
              <w:autoSpaceDE/>
              <w:autoSpaceDN/>
              <w:bidi w:val="0"/>
              <w:adjustRightInd/>
              <w:snapToGrid/>
              <w:spacing w:line="240" w:lineRule="auto"/>
              <w:jc w:val="center"/>
              <w:rPr>
                <w:rFonts w:ascii="宋体" w:hAnsi="宋体" w:eastAsia="宋体" w:cs="宋体"/>
                <w:color w:val="auto"/>
                <w:kern w:val="0"/>
                <w:sz w:val="20"/>
                <w:szCs w:val="20"/>
              </w:rPr>
            </w:pPr>
            <w:r>
              <w:rPr>
                <w:rFonts w:hint="eastAsia" w:ascii="宋体" w:hAnsi="宋体" w:eastAsia="宋体" w:cs="宋体"/>
                <w:color w:val="auto"/>
                <w:kern w:val="0"/>
                <w:sz w:val="20"/>
                <w:szCs w:val="20"/>
              </w:rPr>
              <w:t>满意度指标</w:t>
            </w:r>
          </w:p>
        </w:tc>
        <w:tc>
          <w:tcPr>
            <w:tcW w:w="1228" w:type="dxa"/>
            <w:gridSpan w:val="2"/>
            <w:tcBorders>
              <w:tl2br w:val="nil"/>
              <w:tr2bl w:val="nil"/>
            </w:tcBorders>
            <w:vAlign w:val="center"/>
          </w:tcPr>
          <w:p w14:paraId="11C8B727">
            <w:pPr>
              <w:keepNext w:val="0"/>
              <w:keepLines w:val="0"/>
              <w:pageBreakBefore w:val="0"/>
              <w:widowControl/>
              <w:kinsoku/>
              <w:wordWrap/>
              <w:overflowPunct/>
              <w:topLinePunct w:val="0"/>
              <w:autoSpaceDE/>
              <w:autoSpaceDN/>
              <w:bidi w:val="0"/>
              <w:adjustRightInd/>
              <w:snapToGrid/>
              <w:spacing w:line="240" w:lineRule="auto"/>
              <w:jc w:val="center"/>
              <w:rPr>
                <w:rFonts w:ascii="宋体" w:hAnsi="宋体" w:eastAsia="宋体" w:cs="宋体"/>
                <w:color w:val="auto"/>
                <w:kern w:val="0"/>
                <w:sz w:val="20"/>
                <w:szCs w:val="20"/>
              </w:rPr>
            </w:pPr>
            <w:r>
              <w:rPr>
                <w:rFonts w:hint="eastAsia" w:ascii="宋体" w:hAnsi="宋体" w:eastAsia="宋体" w:cs="宋体"/>
                <w:color w:val="auto"/>
                <w:kern w:val="0"/>
                <w:sz w:val="20"/>
                <w:szCs w:val="20"/>
              </w:rPr>
              <w:t>满意度指标</w:t>
            </w:r>
          </w:p>
        </w:tc>
        <w:tc>
          <w:tcPr>
            <w:tcW w:w="3122" w:type="dxa"/>
            <w:tcBorders>
              <w:tl2br w:val="nil"/>
              <w:tr2bl w:val="nil"/>
            </w:tcBorders>
            <w:vAlign w:val="center"/>
          </w:tcPr>
          <w:p w14:paraId="382F0282">
            <w:pPr>
              <w:keepNext w:val="0"/>
              <w:keepLines w:val="0"/>
              <w:widowControl/>
              <w:suppressLineNumbers w:val="0"/>
              <w:jc w:val="left"/>
              <w:textAlignment w:val="center"/>
              <w:rPr>
                <w:rFonts w:ascii="宋体" w:hAnsi="宋体" w:eastAsia="宋体" w:cs="宋体"/>
                <w:color w:val="auto"/>
                <w:kern w:val="0"/>
                <w:sz w:val="20"/>
                <w:szCs w:val="20"/>
              </w:rPr>
            </w:pPr>
            <w:r>
              <w:rPr>
                <w:rFonts w:hint="eastAsia" w:ascii="宋体" w:hAnsi="宋体" w:eastAsia="宋体" w:cs="宋体"/>
                <w:i w:val="0"/>
                <w:iCs w:val="0"/>
                <w:color w:val="auto"/>
                <w:kern w:val="0"/>
                <w:sz w:val="20"/>
                <w:szCs w:val="20"/>
                <w:u w:val="none"/>
                <w:lang w:val="en-US" w:eastAsia="zh-CN" w:bidi="ar"/>
              </w:rPr>
              <w:t>指标1：服务对象满意度</w:t>
            </w:r>
          </w:p>
        </w:tc>
        <w:tc>
          <w:tcPr>
            <w:tcW w:w="3399" w:type="dxa"/>
            <w:gridSpan w:val="2"/>
            <w:tcBorders>
              <w:tl2br w:val="nil"/>
              <w:tr2bl w:val="nil"/>
            </w:tcBorders>
            <w:vAlign w:val="center"/>
          </w:tcPr>
          <w:p w14:paraId="49AC1C0C">
            <w:pPr>
              <w:keepNext w:val="0"/>
              <w:keepLines w:val="0"/>
              <w:widowControl/>
              <w:suppressLineNumbers w:val="0"/>
              <w:jc w:val="center"/>
              <w:textAlignment w:val="center"/>
              <w:rPr>
                <w:rFonts w:ascii="宋体" w:cs="宋体"/>
                <w:color w:val="auto"/>
                <w:kern w:val="0"/>
                <w:sz w:val="20"/>
                <w:szCs w:val="20"/>
              </w:rPr>
            </w:pPr>
            <w:r>
              <w:rPr>
                <w:rFonts w:hint="eastAsia" w:ascii="宋体" w:hAnsi="宋体" w:eastAsia="宋体" w:cs="宋体"/>
                <w:i w:val="0"/>
                <w:iCs w:val="0"/>
                <w:color w:val="auto"/>
                <w:kern w:val="0"/>
                <w:sz w:val="20"/>
                <w:szCs w:val="20"/>
                <w:u w:val="none"/>
                <w:lang w:val="en-US" w:eastAsia="zh-CN" w:bidi="ar"/>
              </w:rPr>
              <w:t>满意</w:t>
            </w:r>
          </w:p>
        </w:tc>
      </w:tr>
    </w:tbl>
    <w:p w14:paraId="7E44F291">
      <w:pPr>
        <w:rPr>
          <w:color w:val="auto"/>
        </w:rPr>
      </w:pPr>
    </w:p>
    <w:p w14:paraId="0532BA7B">
      <w:pPr>
        <w:ind w:firstLine="640" w:firstLineChars="200"/>
        <w:rPr>
          <w:rFonts w:hint="eastAsia" w:ascii="仿宋" w:hAnsi="仿宋" w:eastAsia="仿宋" w:cs="仿宋"/>
          <w:color w:val="auto"/>
          <w:kern w:val="0"/>
          <w:sz w:val="32"/>
          <w:szCs w:val="32"/>
          <w:highlight w:val="none"/>
        </w:rPr>
      </w:pPr>
      <w:r>
        <w:rPr>
          <w:rFonts w:hint="eastAsia" w:ascii="仿宋" w:hAnsi="仿宋" w:eastAsia="仿宋" w:cs="仿宋"/>
          <w:color w:val="auto"/>
          <w:kern w:val="0"/>
          <w:sz w:val="32"/>
          <w:szCs w:val="32"/>
          <w:highlight w:val="none"/>
          <w:lang w:val="en-US" w:eastAsia="zh-CN"/>
        </w:rPr>
        <w:t>2</w:t>
      </w:r>
      <w:r>
        <w:rPr>
          <w:rFonts w:hint="eastAsia" w:ascii="仿宋" w:hAnsi="仿宋" w:eastAsia="仿宋" w:cs="仿宋"/>
          <w:color w:val="auto"/>
          <w:kern w:val="0"/>
          <w:sz w:val="32"/>
          <w:szCs w:val="32"/>
          <w:highlight w:val="none"/>
        </w:rPr>
        <w:t>、“从业人员免费体检项目”项目。</w:t>
      </w:r>
    </w:p>
    <w:p w14:paraId="32A5A9EC">
      <w:pPr>
        <w:ind w:firstLine="640" w:firstLineChars="200"/>
        <w:rPr>
          <w:rFonts w:hint="eastAsia" w:ascii="仿宋" w:hAnsi="仿宋" w:eastAsia="仿宋" w:cs="仿宋"/>
          <w:color w:val="auto"/>
          <w:kern w:val="0"/>
          <w:sz w:val="32"/>
          <w:szCs w:val="32"/>
          <w:highlight w:val="none"/>
        </w:rPr>
      </w:pPr>
      <w:r>
        <w:rPr>
          <w:rFonts w:hint="eastAsia" w:ascii="仿宋" w:hAnsi="仿宋" w:eastAsia="仿宋" w:cs="仿宋"/>
          <w:color w:val="auto"/>
          <w:kern w:val="0"/>
          <w:sz w:val="32"/>
          <w:szCs w:val="32"/>
          <w:highlight w:val="none"/>
        </w:rPr>
        <w:t>（1）项目概述。中心根据《中华人民共和国食品安全法》、《公共场所管理条例实施细则》等规定，承担着淮北市相山区食品生产经营、公共场所、化妆品、涉及饮用水卫生安全产品等行业从业人员的健康体检及健康证办理发放工作。严格落实财政部、国家发展改革委联合发文《关于清理规范一批行政事业性收费有关政策的通知》（财税〔2017〕20号）文件要求，加强减轻企业和个人负担，促进实体经济的发展。为从事食品等服务行业的人员进行预防性健康体检，提高了从业人员持证上岗率和体检率，为我市城市文明创建及消费者健康提供了保障。</w:t>
      </w:r>
    </w:p>
    <w:p w14:paraId="0388DA4D">
      <w:pPr>
        <w:ind w:firstLine="640" w:firstLineChars="200"/>
        <w:rPr>
          <w:rFonts w:hint="eastAsia" w:ascii="仿宋" w:hAnsi="仿宋" w:eastAsia="仿宋" w:cs="仿宋"/>
          <w:color w:val="auto"/>
          <w:kern w:val="0"/>
          <w:sz w:val="32"/>
          <w:szCs w:val="32"/>
          <w:highlight w:val="none"/>
          <w:lang w:eastAsia="zh-CN"/>
        </w:rPr>
      </w:pPr>
      <w:r>
        <w:rPr>
          <w:rFonts w:hint="eastAsia" w:ascii="仿宋" w:hAnsi="仿宋" w:eastAsia="仿宋" w:cs="仿宋"/>
          <w:color w:val="auto"/>
          <w:kern w:val="0"/>
          <w:sz w:val="32"/>
          <w:szCs w:val="32"/>
          <w:highlight w:val="none"/>
        </w:rPr>
        <w:t>（2）立项依据。财政部、国家发展改革委联合发文《关于清理规范一批行政事业性收费有关政策的通知》（财税〔2017〕20号）</w:t>
      </w:r>
      <w:r>
        <w:rPr>
          <w:rFonts w:hint="eastAsia" w:ascii="仿宋" w:hAnsi="仿宋" w:eastAsia="仿宋" w:cs="仿宋"/>
          <w:color w:val="auto"/>
          <w:kern w:val="0"/>
          <w:sz w:val="32"/>
          <w:szCs w:val="32"/>
          <w:highlight w:val="none"/>
          <w:lang w:eastAsia="zh-CN"/>
        </w:rPr>
        <w:t>。</w:t>
      </w:r>
    </w:p>
    <w:p w14:paraId="261CFE8C">
      <w:pPr>
        <w:ind w:firstLine="640" w:firstLineChars="200"/>
        <w:rPr>
          <w:rFonts w:hint="eastAsia" w:ascii="仿宋" w:hAnsi="仿宋" w:eastAsia="仿宋" w:cs="仿宋"/>
          <w:color w:val="auto"/>
          <w:kern w:val="0"/>
          <w:sz w:val="32"/>
          <w:szCs w:val="32"/>
          <w:highlight w:val="none"/>
          <w:lang w:eastAsia="zh-CN"/>
        </w:rPr>
      </w:pPr>
      <w:r>
        <w:rPr>
          <w:rFonts w:hint="eastAsia" w:ascii="仿宋" w:hAnsi="仿宋" w:eastAsia="仿宋" w:cs="仿宋"/>
          <w:color w:val="auto"/>
          <w:kern w:val="0"/>
          <w:sz w:val="32"/>
          <w:szCs w:val="32"/>
          <w:highlight w:val="none"/>
        </w:rPr>
        <w:t>（3）实施主体。淮北市疾病预防控制中心</w:t>
      </w:r>
      <w:r>
        <w:rPr>
          <w:rFonts w:hint="eastAsia" w:ascii="仿宋" w:hAnsi="仿宋" w:eastAsia="仿宋" w:cs="仿宋"/>
          <w:color w:val="auto"/>
          <w:kern w:val="0"/>
          <w:sz w:val="32"/>
          <w:szCs w:val="32"/>
          <w:highlight w:val="none"/>
          <w:lang w:eastAsia="zh-CN"/>
        </w:rPr>
        <w:t>。</w:t>
      </w:r>
    </w:p>
    <w:p w14:paraId="542E0894">
      <w:pPr>
        <w:ind w:firstLine="640" w:firstLineChars="200"/>
        <w:rPr>
          <w:rFonts w:hint="eastAsia" w:ascii="仿宋" w:hAnsi="仿宋" w:eastAsia="仿宋" w:cs="仿宋"/>
          <w:color w:val="auto"/>
          <w:kern w:val="0"/>
          <w:sz w:val="32"/>
          <w:szCs w:val="32"/>
          <w:highlight w:val="none"/>
          <w:lang w:eastAsia="zh-CN"/>
        </w:rPr>
      </w:pPr>
      <w:r>
        <w:rPr>
          <w:rFonts w:hint="eastAsia" w:ascii="仿宋" w:hAnsi="仿宋" w:eastAsia="仿宋" w:cs="仿宋"/>
          <w:color w:val="auto"/>
          <w:kern w:val="0"/>
          <w:sz w:val="32"/>
          <w:szCs w:val="32"/>
          <w:highlight w:val="none"/>
        </w:rPr>
        <w:t>（4）起止时间。202</w:t>
      </w:r>
      <w:r>
        <w:rPr>
          <w:rFonts w:hint="eastAsia" w:ascii="仿宋" w:hAnsi="仿宋" w:eastAsia="仿宋" w:cs="仿宋"/>
          <w:color w:val="auto"/>
          <w:kern w:val="0"/>
          <w:sz w:val="32"/>
          <w:szCs w:val="32"/>
          <w:highlight w:val="none"/>
          <w:lang w:val="en-US" w:eastAsia="zh-CN"/>
        </w:rPr>
        <w:t>5</w:t>
      </w:r>
      <w:r>
        <w:rPr>
          <w:rFonts w:hint="eastAsia" w:ascii="仿宋" w:hAnsi="仿宋" w:eastAsia="仿宋" w:cs="仿宋"/>
          <w:color w:val="auto"/>
          <w:kern w:val="0"/>
          <w:sz w:val="32"/>
          <w:szCs w:val="32"/>
          <w:highlight w:val="none"/>
        </w:rPr>
        <w:t>年1-12月</w:t>
      </w:r>
      <w:r>
        <w:rPr>
          <w:rFonts w:hint="eastAsia" w:ascii="仿宋" w:hAnsi="仿宋" w:eastAsia="仿宋" w:cs="仿宋"/>
          <w:color w:val="auto"/>
          <w:kern w:val="0"/>
          <w:sz w:val="32"/>
          <w:szCs w:val="32"/>
          <w:highlight w:val="none"/>
          <w:lang w:eastAsia="zh-CN"/>
        </w:rPr>
        <w:t>。</w:t>
      </w:r>
    </w:p>
    <w:p w14:paraId="6453E00D">
      <w:pPr>
        <w:ind w:firstLine="640" w:firstLineChars="200"/>
        <w:rPr>
          <w:rFonts w:hint="eastAsia" w:ascii="仿宋_GB2312" w:eastAsia="仿宋_GB2312"/>
          <w:color w:val="auto"/>
          <w:sz w:val="32"/>
          <w:szCs w:val="32"/>
          <w:highlight w:val="none"/>
        </w:rPr>
      </w:pPr>
      <w:r>
        <w:rPr>
          <w:rFonts w:hint="eastAsia" w:ascii="仿宋" w:hAnsi="仿宋" w:eastAsia="仿宋" w:cs="仿宋"/>
          <w:color w:val="auto"/>
          <w:kern w:val="0"/>
          <w:sz w:val="32"/>
          <w:szCs w:val="32"/>
          <w:highlight w:val="none"/>
        </w:rPr>
        <w:t>（5）项目内容。</w:t>
      </w:r>
      <w:r>
        <w:rPr>
          <w:rFonts w:hint="eastAsia" w:ascii="仿宋_GB2312" w:eastAsia="仿宋_GB2312"/>
          <w:color w:val="auto"/>
          <w:sz w:val="32"/>
          <w:szCs w:val="32"/>
          <w:highlight w:val="none"/>
        </w:rPr>
        <w:t>根据《中华人民共和国食品安全法》、《中华人民共和国食品安全法实施条例》、卫生部《预防性健康检查管理办法》规定从事食品、饮用水生产经营，公共场所直接为顾客服务的从业人员，必须按照规定进行预防性健康检查。财税</w:t>
      </w:r>
      <w:r>
        <w:rPr>
          <w:rFonts w:hint="eastAsia" w:ascii="仿宋" w:hAnsi="仿宋" w:eastAsia="仿宋" w:cs="仿宋"/>
          <w:color w:val="auto"/>
          <w:kern w:val="0"/>
          <w:sz w:val="32"/>
          <w:szCs w:val="32"/>
          <w:highlight w:val="none"/>
        </w:rPr>
        <w:t>〔2017〕</w:t>
      </w:r>
      <w:r>
        <w:rPr>
          <w:rFonts w:hint="eastAsia" w:ascii="仿宋_GB2312" w:eastAsia="仿宋_GB2312"/>
          <w:color w:val="auto"/>
          <w:sz w:val="32"/>
          <w:szCs w:val="32"/>
          <w:highlight w:val="none"/>
        </w:rPr>
        <w:t>20号文件规定为切实减轻企业和个人负担，促进实体经济发展，经国务院批准，清理规范了一批行政事业性收费项目，单位依法履行管理职能所需经费，由同级财政预算予以保障。主要用于日常运转所需办公设备、专用设备的购置和维修维护、专用材料费、办公费、印刷费、体检中心聘用劳务派遣人员工资、社保以及其他商品和服务支出等。</w:t>
      </w:r>
    </w:p>
    <w:p w14:paraId="6DEA7080">
      <w:pPr>
        <w:ind w:firstLine="640" w:firstLineChars="200"/>
        <w:rPr>
          <w:rFonts w:hint="eastAsia" w:ascii="仿宋" w:hAnsi="仿宋" w:eastAsia="仿宋" w:cs="仿宋"/>
          <w:color w:val="auto"/>
          <w:kern w:val="0"/>
          <w:sz w:val="32"/>
          <w:szCs w:val="32"/>
          <w:highlight w:val="none"/>
          <w:lang w:val="en-US" w:eastAsia="zh-CN"/>
        </w:rPr>
      </w:pPr>
      <w:r>
        <w:rPr>
          <w:rFonts w:hint="eastAsia" w:ascii="仿宋" w:hAnsi="仿宋" w:eastAsia="仿宋" w:cs="仿宋"/>
          <w:color w:val="auto"/>
          <w:kern w:val="0"/>
          <w:sz w:val="32"/>
          <w:szCs w:val="32"/>
          <w:highlight w:val="none"/>
        </w:rPr>
        <w:t>（6）年度预算安排。100万元。</w:t>
      </w:r>
    </w:p>
    <w:p w14:paraId="2A0076F6">
      <w:pPr>
        <w:ind w:firstLine="640" w:firstLineChars="200"/>
        <w:rPr>
          <w:rFonts w:hint="eastAsia" w:ascii="仿宋" w:hAnsi="仿宋" w:eastAsia="仿宋" w:cs="仿宋"/>
          <w:color w:val="auto"/>
          <w:kern w:val="0"/>
          <w:sz w:val="32"/>
          <w:szCs w:val="32"/>
          <w:highlight w:val="none"/>
        </w:rPr>
      </w:pPr>
      <w:r>
        <w:rPr>
          <w:rFonts w:hint="eastAsia" w:ascii="仿宋" w:hAnsi="仿宋" w:eastAsia="仿宋" w:cs="仿宋"/>
          <w:color w:val="auto"/>
          <w:kern w:val="0"/>
          <w:sz w:val="32"/>
          <w:szCs w:val="32"/>
          <w:highlight w:val="none"/>
        </w:rPr>
        <w:t>（7）绩效目标。为了广大市民的食品等公共卫生安全，根据《中华人民共和国食品安全法》等规定从事食品、饮用水生产经营，公共场所直接为顾客服务的从业人员，必须按照规定进行预防性健康检查。</w:t>
      </w:r>
    </w:p>
    <w:tbl>
      <w:tblPr>
        <w:tblStyle w:val="5"/>
        <w:tblW w:w="90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38"/>
        <w:gridCol w:w="723"/>
        <w:gridCol w:w="282"/>
        <w:gridCol w:w="633"/>
        <w:gridCol w:w="3041"/>
        <w:gridCol w:w="1523"/>
        <w:gridCol w:w="2380"/>
      </w:tblGrid>
      <w:tr w14:paraId="17992A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3" w:hRule="atLeast"/>
          <w:jc w:val="center"/>
        </w:trPr>
        <w:tc>
          <w:tcPr>
            <w:tcW w:w="9020" w:type="dxa"/>
            <w:gridSpan w:val="7"/>
            <w:tcBorders>
              <w:top w:val="nil"/>
              <w:left w:val="nil"/>
              <w:bottom w:val="nil"/>
              <w:right w:val="nil"/>
            </w:tcBorders>
            <w:vAlign w:val="center"/>
          </w:tcPr>
          <w:p w14:paraId="497CD43B">
            <w:pPr>
              <w:widowControl/>
              <w:jc w:val="center"/>
              <w:textAlignment w:val="center"/>
              <w:rPr>
                <w:rFonts w:ascii="宋体" w:cs="宋体"/>
                <w:b/>
                <w:bCs/>
                <w:color w:val="auto"/>
                <w:szCs w:val="32"/>
                <w:highlight w:val="none"/>
              </w:rPr>
            </w:pPr>
            <w:r>
              <w:rPr>
                <w:rFonts w:hint="eastAsia" w:ascii="宋体" w:hAnsi="宋体" w:eastAsia="宋体" w:cs="宋体"/>
                <w:b/>
                <w:color w:val="auto"/>
                <w:kern w:val="0"/>
                <w:sz w:val="28"/>
                <w:szCs w:val="28"/>
                <w:highlight w:val="none"/>
              </w:rPr>
              <w:t>项目支出绩效目标表</w:t>
            </w:r>
          </w:p>
        </w:tc>
      </w:tr>
      <w:tr w14:paraId="07D694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9020" w:type="dxa"/>
            <w:gridSpan w:val="7"/>
            <w:tcBorders>
              <w:top w:val="nil"/>
              <w:left w:val="nil"/>
              <w:right w:val="nil"/>
            </w:tcBorders>
            <w:vAlign w:val="center"/>
          </w:tcPr>
          <w:p w14:paraId="3EC71BFC">
            <w:pPr>
              <w:widowControl/>
              <w:jc w:val="center"/>
              <w:textAlignment w:val="center"/>
              <w:rPr>
                <w:rFonts w:ascii="宋体" w:cs="宋体"/>
                <w:color w:val="auto"/>
                <w:sz w:val="20"/>
                <w:highlight w:val="none"/>
              </w:rPr>
            </w:pPr>
            <w:r>
              <w:rPr>
                <w:rFonts w:hint="eastAsia" w:ascii="宋体" w:hAnsi="宋体" w:eastAsia="宋体" w:cs="宋体"/>
                <w:color w:val="auto"/>
                <w:kern w:val="0"/>
                <w:sz w:val="20"/>
                <w:szCs w:val="20"/>
                <w:highlight w:val="none"/>
              </w:rPr>
              <w:t xml:space="preserve"> （2025年度）                                </w:t>
            </w:r>
          </w:p>
        </w:tc>
      </w:tr>
      <w:tr w14:paraId="5FB6EE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jc w:val="center"/>
        </w:trPr>
        <w:tc>
          <w:tcPr>
            <w:tcW w:w="1443" w:type="dxa"/>
            <w:gridSpan w:val="3"/>
            <w:tcBorders>
              <w:tl2br w:val="nil"/>
              <w:tr2bl w:val="nil"/>
            </w:tcBorders>
            <w:vAlign w:val="center"/>
          </w:tcPr>
          <w:p w14:paraId="634621C3">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ascii="宋体" w:cs="宋体"/>
                <w:color w:val="auto"/>
                <w:kern w:val="0"/>
                <w:sz w:val="20"/>
                <w:szCs w:val="20"/>
                <w:highlight w:val="none"/>
              </w:rPr>
            </w:pPr>
            <w:r>
              <w:rPr>
                <w:rFonts w:hint="eastAsia" w:ascii="宋体" w:hAnsi="宋体" w:eastAsia="宋体" w:cs="宋体"/>
                <w:color w:val="auto"/>
                <w:kern w:val="0"/>
                <w:sz w:val="20"/>
                <w:szCs w:val="20"/>
                <w:highlight w:val="none"/>
              </w:rPr>
              <w:t>项目名称</w:t>
            </w:r>
          </w:p>
        </w:tc>
        <w:tc>
          <w:tcPr>
            <w:tcW w:w="7577" w:type="dxa"/>
            <w:gridSpan w:val="4"/>
            <w:tcBorders>
              <w:tl2br w:val="nil"/>
              <w:tr2bl w:val="nil"/>
            </w:tcBorders>
            <w:vAlign w:val="center"/>
          </w:tcPr>
          <w:p w14:paraId="0F20A967">
            <w:pPr>
              <w:keepNext w:val="0"/>
              <w:keepLines w:val="0"/>
              <w:pageBreakBefore w:val="0"/>
              <w:kinsoku/>
              <w:wordWrap/>
              <w:overflowPunct/>
              <w:topLinePunct w:val="0"/>
              <w:autoSpaceDE/>
              <w:autoSpaceDN/>
              <w:bidi w:val="0"/>
              <w:adjustRightInd/>
              <w:snapToGrid/>
              <w:spacing w:line="240" w:lineRule="auto"/>
              <w:jc w:val="center"/>
              <w:rPr>
                <w:rFonts w:ascii="宋体" w:cs="宋体"/>
                <w:color w:val="auto"/>
                <w:kern w:val="0"/>
                <w:sz w:val="20"/>
                <w:szCs w:val="20"/>
                <w:highlight w:val="none"/>
              </w:rPr>
            </w:pPr>
            <w:r>
              <w:rPr>
                <w:rFonts w:hint="eastAsia" w:ascii="宋体" w:hAnsi="宋体" w:eastAsia="宋体" w:cs="宋体"/>
                <w:color w:val="auto"/>
                <w:kern w:val="0"/>
                <w:sz w:val="20"/>
                <w:szCs w:val="20"/>
                <w:highlight w:val="none"/>
              </w:rPr>
              <w:t>从业人员免费体检项目</w:t>
            </w:r>
          </w:p>
        </w:tc>
      </w:tr>
      <w:tr w14:paraId="3DAFBC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1" w:hRule="atLeast"/>
          <w:jc w:val="center"/>
        </w:trPr>
        <w:tc>
          <w:tcPr>
            <w:tcW w:w="1443" w:type="dxa"/>
            <w:gridSpan w:val="3"/>
            <w:tcBorders>
              <w:tl2br w:val="nil"/>
              <w:tr2bl w:val="nil"/>
            </w:tcBorders>
            <w:vAlign w:val="center"/>
          </w:tcPr>
          <w:p w14:paraId="50CF654E">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ascii="宋体" w:cs="宋体"/>
                <w:color w:val="auto"/>
                <w:kern w:val="0"/>
                <w:sz w:val="20"/>
                <w:szCs w:val="20"/>
                <w:highlight w:val="none"/>
              </w:rPr>
            </w:pPr>
            <w:r>
              <w:rPr>
                <w:rFonts w:hint="eastAsia" w:ascii="宋体" w:hAnsi="宋体" w:eastAsia="宋体" w:cs="宋体"/>
                <w:color w:val="auto"/>
                <w:kern w:val="0"/>
                <w:sz w:val="20"/>
                <w:szCs w:val="20"/>
                <w:highlight w:val="none"/>
              </w:rPr>
              <w:t>主管部门   及代码</w:t>
            </w:r>
          </w:p>
        </w:tc>
        <w:tc>
          <w:tcPr>
            <w:tcW w:w="3674" w:type="dxa"/>
            <w:gridSpan w:val="2"/>
            <w:tcBorders>
              <w:tl2br w:val="nil"/>
              <w:tr2bl w:val="nil"/>
            </w:tcBorders>
            <w:vAlign w:val="center"/>
          </w:tcPr>
          <w:p w14:paraId="396F2E8A">
            <w:pPr>
              <w:keepNext w:val="0"/>
              <w:keepLines w:val="0"/>
              <w:pageBreakBefore w:val="0"/>
              <w:kinsoku/>
              <w:wordWrap/>
              <w:overflowPunct/>
              <w:topLinePunct w:val="0"/>
              <w:autoSpaceDE/>
              <w:autoSpaceDN/>
              <w:bidi w:val="0"/>
              <w:adjustRightInd/>
              <w:snapToGrid/>
              <w:spacing w:line="240" w:lineRule="auto"/>
              <w:jc w:val="center"/>
              <w:rPr>
                <w:rFonts w:ascii="宋体" w:cs="宋体"/>
                <w:color w:val="auto"/>
                <w:kern w:val="0"/>
                <w:sz w:val="20"/>
                <w:szCs w:val="20"/>
                <w:highlight w:val="none"/>
              </w:rPr>
            </w:pPr>
            <w:r>
              <w:rPr>
                <w:rFonts w:hint="eastAsia" w:ascii="宋体" w:hAnsi="宋体" w:eastAsia="宋体" w:cs="宋体"/>
                <w:color w:val="auto"/>
                <w:kern w:val="0"/>
                <w:sz w:val="20"/>
                <w:szCs w:val="20"/>
                <w:highlight w:val="none"/>
              </w:rPr>
              <w:t>[076]淮北市卫生健康委员会</w:t>
            </w:r>
          </w:p>
        </w:tc>
        <w:tc>
          <w:tcPr>
            <w:tcW w:w="1523" w:type="dxa"/>
            <w:tcBorders>
              <w:tl2br w:val="nil"/>
              <w:tr2bl w:val="nil"/>
            </w:tcBorders>
            <w:vAlign w:val="center"/>
          </w:tcPr>
          <w:p w14:paraId="0F7471ED">
            <w:pPr>
              <w:keepNext w:val="0"/>
              <w:keepLines w:val="0"/>
              <w:pageBreakBefore w:val="0"/>
              <w:widowControl/>
              <w:kinsoku/>
              <w:wordWrap/>
              <w:overflowPunct/>
              <w:topLinePunct w:val="0"/>
              <w:autoSpaceDE/>
              <w:autoSpaceDN/>
              <w:bidi w:val="0"/>
              <w:adjustRightInd/>
              <w:snapToGrid/>
              <w:spacing w:line="240" w:lineRule="auto"/>
              <w:jc w:val="center"/>
              <w:textAlignment w:val="center"/>
              <w:rPr>
                <w:color w:val="auto"/>
                <w:kern w:val="0"/>
                <w:sz w:val="20"/>
                <w:szCs w:val="20"/>
                <w:highlight w:val="none"/>
              </w:rPr>
            </w:pPr>
            <w:r>
              <w:rPr>
                <w:rFonts w:hint="eastAsia" w:ascii="宋体" w:hAnsi="宋体" w:eastAsia="宋体" w:cs="宋体"/>
                <w:color w:val="auto"/>
                <w:kern w:val="0"/>
                <w:sz w:val="20"/>
                <w:szCs w:val="20"/>
                <w:highlight w:val="none"/>
              </w:rPr>
              <w:t>实施单位</w:t>
            </w:r>
          </w:p>
        </w:tc>
        <w:tc>
          <w:tcPr>
            <w:tcW w:w="2380" w:type="dxa"/>
            <w:tcBorders>
              <w:tl2br w:val="nil"/>
              <w:tr2bl w:val="nil"/>
            </w:tcBorders>
            <w:shd w:val="clear" w:color="auto" w:fill="auto"/>
            <w:vAlign w:val="center"/>
          </w:tcPr>
          <w:p w14:paraId="394F3A24">
            <w:pPr>
              <w:keepNext w:val="0"/>
              <w:keepLines w:val="0"/>
              <w:pageBreakBefore w:val="0"/>
              <w:widowControl/>
              <w:kinsoku/>
              <w:wordWrap/>
              <w:overflowPunct/>
              <w:topLinePunct w:val="0"/>
              <w:autoSpaceDE/>
              <w:autoSpaceDN/>
              <w:bidi w:val="0"/>
              <w:adjustRightInd/>
              <w:snapToGrid/>
              <w:spacing w:line="240" w:lineRule="auto"/>
              <w:jc w:val="center"/>
              <w:rPr>
                <w:rFonts w:ascii="宋体" w:hAnsi="宋体" w:eastAsia="宋体" w:cs="宋体"/>
                <w:color w:val="auto"/>
                <w:kern w:val="0"/>
                <w:sz w:val="20"/>
                <w:szCs w:val="20"/>
                <w:highlight w:val="none"/>
                <w:lang w:val="en-US" w:eastAsia="zh-CN" w:bidi="ar-SA"/>
              </w:rPr>
            </w:pPr>
            <w:r>
              <w:rPr>
                <w:rFonts w:hint="eastAsia" w:ascii="宋体" w:hAnsi="宋体" w:eastAsia="宋体" w:cs="宋体"/>
                <w:color w:val="auto"/>
                <w:kern w:val="0"/>
                <w:sz w:val="20"/>
                <w:szCs w:val="20"/>
                <w:highlight w:val="none"/>
              </w:rPr>
              <w:t>淮北市疾病预防控制中心</w:t>
            </w:r>
          </w:p>
        </w:tc>
      </w:tr>
      <w:tr w14:paraId="3F476A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jc w:val="center"/>
        </w:trPr>
        <w:tc>
          <w:tcPr>
            <w:tcW w:w="1443" w:type="dxa"/>
            <w:gridSpan w:val="3"/>
            <w:tcBorders>
              <w:tl2br w:val="nil"/>
              <w:tr2bl w:val="nil"/>
            </w:tcBorders>
            <w:vAlign w:val="center"/>
          </w:tcPr>
          <w:p w14:paraId="32A1C1CD">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ascii="宋体" w:cs="宋体"/>
                <w:color w:val="auto"/>
                <w:kern w:val="0"/>
                <w:sz w:val="20"/>
                <w:szCs w:val="20"/>
                <w:highlight w:val="none"/>
              </w:rPr>
            </w:pPr>
            <w:r>
              <w:rPr>
                <w:rFonts w:hint="eastAsia" w:ascii="宋体" w:hAnsi="宋体" w:eastAsia="宋体" w:cs="宋体"/>
                <w:color w:val="auto"/>
                <w:kern w:val="0"/>
                <w:sz w:val="20"/>
                <w:szCs w:val="20"/>
                <w:highlight w:val="none"/>
              </w:rPr>
              <w:t>项目来源</w:t>
            </w:r>
          </w:p>
        </w:tc>
        <w:tc>
          <w:tcPr>
            <w:tcW w:w="3674" w:type="dxa"/>
            <w:gridSpan w:val="2"/>
            <w:tcBorders>
              <w:tl2br w:val="nil"/>
              <w:tr2bl w:val="nil"/>
            </w:tcBorders>
            <w:vAlign w:val="center"/>
          </w:tcPr>
          <w:p w14:paraId="25F205E3">
            <w:pPr>
              <w:keepNext w:val="0"/>
              <w:keepLines w:val="0"/>
              <w:pageBreakBefore w:val="0"/>
              <w:kinsoku/>
              <w:wordWrap/>
              <w:overflowPunct/>
              <w:topLinePunct w:val="0"/>
              <w:autoSpaceDE/>
              <w:autoSpaceDN/>
              <w:bidi w:val="0"/>
              <w:adjustRightInd/>
              <w:snapToGrid/>
              <w:spacing w:line="240" w:lineRule="auto"/>
              <w:jc w:val="center"/>
              <w:rPr>
                <w:rFonts w:ascii="宋体" w:cs="宋体"/>
                <w:color w:val="auto"/>
                <w:kern w:val="0"/>
                <w:sz w:val="20"/>
                <w:szCs w:val="20"/>
                <w:highlight w:val="none"/>
              </w:rPr>
            </w:pPr>
          </w:p>
        </w:tc>
        <w:tc>
          <w:tcPr>
            <w:tcW w:w="1523" w:type="dxa"/>
            <w:tcBorders>
              <w:tl2br w:val="nil"/>
              <w:tr2bl w:val="nil"/>
            </w:tcBorders>
            <w:vAlign w:val="center"/>
          </w:tcPr>
          <w:p w14:paraId="6FF88D2E">
            <w:pPr>
              <w:keepNext w:val="0"/>
              <w:keepLines w:val="0"/>
              <w:pageBreakBefore w:val="0"/>
              <w:widowControl/>
              <w:kinsoku/>
              <w:wordWrap/>
              <w:overflowPunct/>
              <w:topLinePunct w:val="0"/>
              <w:autoSpaceDE/>
              <w:autoSpaceDN/>
              <w:bidi w:val="0"/>
              <w:adjustRightInd/>
              <w:snapToGrid/>
              <w:spacing w:line="240" w:lineRule="auto"/>
              <w:jc w:val="center"/>
              <w:textAlignment w:val="center"/>
              <w:rPr>
                <w:color w:val="auto"/>
                <w:kern w:val="0"/>
                <w:sz w:val="20"/>
                <w:szCs w:val="20"/>
                <w:highlight w:val="none"/>
              </w:rPr>
            </w:pPr>
            <w:r>
              <w:rPr>
                <w:rFonts w:hint="eastAsia" w:ascii="宋体" w:hAnsi="宋体" w:eastAsia="宋体" w:cs="宋体"/>
                <w:color w:val="auto"/>
                <w:kern w:val="0"/>
                <w:sz w:val="20"/>
                <w:szCs w:val="20"/>
                <w:highlight w:val="none"/>
              </w:rPr>
              <w:t>项目期</w:t>
            </w:r>
          </w:p>
        </w:tc>
        <w:tc>
          <w:tcPr>
            <w:tcW w:w="2380" w:type="dxa"/>
            <w:tcBorders>
              <w:tl2br w:val="nil"/>
              <w:tr2bl w:val="nil"/>
            </w:tcBorders>
            <w:shd w:val="clear" w:color="auto" w:fill="auto"/>
            <w:vAlign w:val="center"/>
          </w:tcPr>
          <w:p w14:paraId="2F0EF340">
            <w:pPr>
              <w:keepNext w:val="0"/>
              <w:keepLines w:val="0"/>
              <w:pageBreakBefore w:val="0"/>
              <w:widowControl/>
              <w:kinsoku/>
              <w:wordWrap/>
              <w:overflowPunct/>
              <w:topLinePunct w:val="0"/>
              <w:autoSpaceDE/>
              <w:autoSpaceDN/>
              <w:bidi w:val="0"/>
              <w:adjustRightInd/>
              <w:snapToGrid/>
              <w:spacing w:line="240" w:lineRule="auto"/>
              <w:jc w:val="center"/>
              <w:rPr>
                <w:rFonts w:ascii="宋体" w:hAnsi="宋体" w:eastAsia="宋体" w:cs="宋体"/>
                <w:color w:val="auto"/>
                <w:kern w:val="0"/>
                <w:sz w:val="20"/>
                <w:szCs w:val="20"/>
                <w:highlight w:val="none"/>
                <w:lang w:val="en-US" w:eastAsia="zh-CN" w:bidi="ar-SA"/>
              </w:rPr>
            </w:pPr>
            <w:r>
              <w:rPr>
                <w:rFonts w:hint="eastAsia" w:ascii="宋体" w:hAnsi="宋体" w:eastAsia="宋体" w:cs="宋体"/>
                <w:color w:val="auto"/>
                <w:kern w:val="0"/>
                <w:sz w:val="20"/>
                <w:szCs w:val="20"/>
                <w:highlight w:val="none"/>
              </w:rPr>
              <w:t>1年</w:t>
            </w:r>
          </w:p>
        </w:tc>
      </w:tr>
      <w:tr w14:paraId="5351EA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jc w:val="center"/>
        </w:trPr>
        <w:tc>
          <w:tcPr>
            <w:tcW w:w="1443" w:type="dxa"/>
            <w:gridSpan w:val="3"/>
            <w:vMerge w:val="restart"/>
            <w:tcBorders>
              <w:tl2br w:val="nil"/>
              <w:tr2bl w:val="nil"/>
            </w:tcBorders>
            <w:vAlign w:val="center"/>
          </w:tcPr>
          <w:p w14:paraId="2DD0AEEA">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ascii="宋体" w:cs="宋体"/>
                <w:color w:val="auto"/>
                <w:kern w:val="0"/>
                <w:sz w:val="20"/>
                <w:szCs w:val="20"/>
                <w:highlight w:val="none"/>
              </w:rPr>
            </w:pPr>
            <w:r>
              <w:rPr>
                <w:rFonts w:hint="eastAsia" w:ascii="宋体" w:hAnsi="宋体" w:eastAsia="宋体" w:cs="宋体"/>
                <w:color w:val="auto"/>
                <w:kern w:val="0"/>
                <w:sz w:val="20"/>
                <w:szCs w:val="20"/>
                <w:highlight w:val="none"/>
              </w:rPr>
              <w:t>项目资金</w:t>
            </w:r>
            <w:r>
              <w:rPr>
                <w:rFonts w:hint="eastAsia" w:ascii="宋体" w:hAnsi="宋体" w:eastAsia="宋体" w:cs="宋体"/>
                <w:color w:val="auto"/>
                <w:kern w:val="0"/>
                <w:sz w:val="20"/>
                <w:szCs w:val="20"/>
                <w:highlight w:val="none"/>
              </w:rPr>
              <w:br w:type="textWrapping"/>
            </w:r>
            <w:r>
              <w:rPr>
                <w:rFonts w:hint="eastAsia" w:ascii="宋体" w:hAnsi="宋体" w:eastAsia="宋体" w:cs="宋体"/>
                <w:color w:val="auto"/>
                <w:kern w:val="0"/>
                <w:sz w:val="20"/>
                <w:szCs w:val="20"/>
                <w:highlight w:val="none"/>
              </w:rPr>
              <w:t>（万元）</w:t>
            </w:r>
          </w:p>
        </w:tc>
        <w:tc>
          <w:tcPr>
            <w:tcW w:w="3674" w:type="dxa"/>
            <w:gridSpan w:val="2"/>
            <w:tcBorders>
              <w:tl2br w:val="nil"/>
              <w:tr2bl w:val="nil"/>
            </w:tcBorders>
            <w:vAlign w:val="center"/>
          </w:tcPr>
          <w:p w14:paraId="4199590E">
            <w:pPr>
              <w:keepNext w:val="0"/>
              <w:keepLines w:val="0"/>
              <w:pageBreakBefore w:val="0"/>
              <w:widowControl/>
              <w:kinsoku/>
              <w:wordWrap/>
              <w:overflowPunct/>
              <w:topLinePunct w:val="0"/>
              <w:autoSpaceDE/>
              <w:autoSpaceDN/>
              <w:bidi w:val="0"/>
              <w:adjustRightInd/>
              <w:snapToGrid/>
              <w:spacing w:line="240" w:lineRule="auto"/>
              <w:jc w:val="left"/>
              <w:textAlignment w:val="center"/>
              <w:rPr>
                <w:rFonts w:ascii="宋体" w:cs="宋体"/>
                <w:color w:val="auto"/>
                <w:kern w:val="0"/>
                <w:sz w:val="20"/>
                <w:szCs w:val="20"/>
                <w:highlight w:val="none"/>
              </w:rPr>
            </w:pPr>
            <w:r>
              <w:rPr>
                <w:rFonts w:hint="eastAsia" w:ascii="宋体" w:hAnsi="宋体" w:eastAsia="宋体" w:cs="宋体"/>
                <w:color w:val="auto"/>
                <w:kern w:val="0"/>
                <w:sz w:val="20"/>
                <w:szCs w:val="20"/>
                <w:highlight w:val="none"/>
              </w:rPr>
              <w:t xml:space="preserve"> 年度资金总额：</w:t>
            </w:r>
          </w:p>
        </w:tc>
        <w:tc>
          <w:tcPr>
            <w:tcW w:w="3903" w:type="dxa"/>
            <w:gridSpan w:val="2"/>
            <w:tcBorders>
              <w:tl2br w:val="nil"/>
              <w:tr2bl w:val="nil"/>
            </w:tcBorders>
            <w:shd w:val="clear" w:color="auto" w:fill="auto"/>
            <w:vAlign w:val="center"/>
          </w:tcPr>
          <w:p w14:paraId="3F029FF3">
            <w:pPr>
              <w:keepNext w:val="0"/>
              <w:keepLines w:val="0"/>
              <w:pageBreakBefore w:val="0"/>
              <w:widowControl/>
              <w:kinsoku/>
              <w:wordWrap/>
              <w:overflowPunct/>
              <w:topLinePunct w:val="0"/>
              <w:autoSpaceDE/>
              <w:autoSpaceDN/>
              <w:bidi w:val="0"/>
              <w:adjustRightInd/>
              <w:snapToGrid/>
              <w:spacing w:line="240" w:lineRule="auto"/>
              <w:jc w:val="right"/>
              <w:rPr>
                <w:rFonts w:hint="default" w:ascii="宋体" w:hAnsi="宋体" w:eastAsia="宋体" w:cs="宋体"/>
                <w:color w:val="auto"/>
                <w:kern w:val="0"/>
                <w:sz w:val="20"/>
                <w:szCs w:val="20"/>
                <w:highlight w:val="none"/>
                <w:lang w:val="en-US" w:eastAsia="zh-CN" w:bidi="ar-SA"/>
              </w:rPr>
            </w:pPr>
            <w:r>
              <w:rPr>
                <w:rFonts w:hint="eastAsia" w:ascii="宋体" w:hAnsi="宋体" w:eastAsia="宋体" w:cs="宋体"/>
                <w:color w:val="auto"/>
                <w:kern w:val="0"/>
                <w:sz w:val="20"/>
                <w:szCs w:val="20"/>
                <w:highlight w:val="none"/>
                <w:lang w:val="en-US" w:eastAsia="zh-CN" w:bidi="ar-SA"/>
              </w:rPr>
              <w:t>100.00</w:t>
            </w:r>
          </w:p>
        </w:tc>
      </w:tr>
      <w:tr w14:paraId="717516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jc w:val="center"/>
        </w:trPr>
        <w:tc>
          <w:tcPr>
            <w:tcW w:w="1443" w:type="dxa"/>
            <w:gridSpan w:val="3"/>
            <w:vMerge w:val="continue"/>
            <w:tcBorders>
              <w:tl2br w:val="nil"/>
              <w:tr2bl w:val="nil"/>
            </w:tcBorders>
            <w:vAlign w:val="center"/>
          </w:tcPr>
          <w:p w14:paraId="4CA81E39">
            <w:pPr>
              <w:keepNext w:val="0"/>
              <w:keepLines w:val="0"/>
              <w:pageBreakBefore w:val="0"/>
              <w:kinsoku/>
              <w:wordWrap/>
              <w:overflowPunct/>
              <w:topLinePunct w:val="0"/>
              <w:autoSpaceDE/>
              <w:autoSpaceDN/>
              <w:bidi w:val="0"/>
              <w:adjustRightInd/>
              <w:snapToGrid/>
              <w:spacing w:line="240" w:lineRule="auto"/>
              <w:jc w:val="center"/>
              <w:rPr>
                <w:rFonts w:ascii="宋体" w:cs="宋体"/>
                <w:color w:val="auto"/>
                <w:kern w:val="0"/>
                <w:sz w:val="20"/>
                <w:szCs w:val="20"/>
                <w:highlight w:val="none"/>
              </w:rPr>
            </w:pPr>
          </w:p>
        </w:tc>
        <w:tc>
          <w:tcPr>
            <w:tcW w:w="3674" w:type="dxa"/>
            <w:gridSpan w:val="2"/>
            <w:tcBorders>
              <w:tl2br w:val="nil"/>
              <w:tr2bl w:val="nil"/>
            </w:tcBorders>
            <w:vAlign w:val="center"/>
          </w:tcPr>
          <w:p w14:paraId="540FB7D6">
            <w:pPr>
              <w:keepNext w:val="0"/>
              <w:keepLines w:val="0"/>
              <w:pageBreakBefore w:val="0"/>
              <w:widowControl/>
              <w:kinsoku/>
              <w:wordWrap/>
              <w:overflowPunct/>
              <w:topLinePunct w:val="0"/>
              <w:autoSpaceDE/>
              <w:autoSpaceDN/>
              <w:bidi w:val="0"/>
              <w:adjustRightInd/>
              <w:snapToGrid/>
              <w:spacing w:line="240" w:lineRule="auto"/>
              <w:jc w:val="left"/>
              <w:textAlignment w:val="center"/>
              <w:rPr>
                <w:rFonts w:ascii="宋体" w:cs="宋体"/>
                <w:color w:val="auto"/>
                <w:kern w:val="0"/>
                <w:sz w:val="20"/>
                <w:szCs w:val="20"/>
                <w:highlight w:val="none"/>
              </w:rPr>
            </w:pPr>
            <w:r>
              <w:rPr>
                <w:rFonts w:hint="eastAsia" w:ascii="宋体" w:hAnsi="宋体" w:eastAsia="宋体" w:cs="宋体"/>
                <w:color w:val="auto"/>
                <w:kern w:val="0"/>
                <w:sz w:val="20"/>
                <w:szCs w:val="20"/>
                <w:highlight w:val="none"/>
              </w:rPr>
              <w:t xml:space="preserve">   其中：财政拨款</w:t>
            </w:r>
          </w:p>
        </w:tc>
        <w:tc>
          <w:tcPr>
            <w:tcW w:w="3903" w:type="dxa"/>
            <w:gridSpan w:val="2"/>
            <w:tcBorders>
              <w:tl2br w:val="nil"/>
              <w:tr2bl w:val="nil"/>
            </w:tcBorders>
            <w:shd w:val="clear" w:color="auto" w:fill="auto"/>
            <w:vAlign w:val="center"/>
          </w:tcPr>
          <w:p w14:paraId="67E6A9B8">
            <w:pPr>
              <w:keepNext w:val="0"/>
              <w:keepLines w:val="0"/>
              <w:pageBreakBefore w:val="0"/>
              <w:widowControl/>
              <w:kinsoku/>
              <w:wordWrap/>
              <w:overflowPunct/>
              <w:topLinePunct w:val="0"/>
              <w:autoSpaceDE/>
              <w:autoSpaceDN/>
              <w:bidi w:val="0"/>
              <w:adjustRightInd/>
              <w:snapToGrid/>
              <w:spacing w:line="240" w:lineRule="auto"/>
              <w:jc w:val="right"/>
              <w:rPr>
                <w:rFonts w:hint="default" w:ascii="宋体" w:hAnsi="宋体" w:eastAsia="宋体" w:cs="宋体"/>
                <w:color w:val="auto"/>
                <w:kern w:val="0"/>
                <w:sz w:val="20"/>
                <w:szCs w:val="20"/>
                <w:highlight w:val="none"/>
                <w:lang w:val="en-US" w:eastAsia="zh-CN" w:bidi="ar-SA"/>
              </w:rPr>
            </w:pPr>
            <w:r>
              <w:rPr>
                <w:rFonts w:hint="eastAsia" w:ascii="宋体" w:hAnsi="宋体" w:eastAsia="宋体" w:cs="宋体"/>
                <w:color w:val="auto"/>
                <w:kern w:val="0"/>
                <w:sz w:val="20"/>
                <w:szCs w:val="20"/>
                <w:highlight w:val="none"/>
                <w:lang w:val="en-US" w:eastAsia="zh-CN" w:bidi="ar-SA"/>
              </w:rPr>
              <w:t>100.00</w:t>
            </w:r>
          </w:p>
        </w:tc>
      </w:tr>
      <w:tr w14:paraId="703ECF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jc w:val="center"/>
        </w:trPr>
        <w:tc>
          <w:tcPr>
            <w:tcW w:w="1443" w:type="dxa"/>
            <w:gridSpan w:val="3"/>
            <w:vMerge w:val="continue"/>
            <w:tcBorders>
              <w:tl2br w:val="nil"/>
              <w:tr2bl w:val="nil"/>
            </w:tcBorders>
            <w:vAlign w:val="center"/>
          </w:tcPr>
          <w:p w14:paraId="114B5963">
            <w:pPr>
              <w:keepNext w:val="0"/>
              <w:keepLines w:val="0"/>
              <w:pageBreakBefore w:val="0"/>
              <w:kinsoku/>
              <w:wordWrap/>
              <w:overflowPunct/>
              <w:topLinePunct w:val="0"/>
              <w:autoSpaceDE/>
              <w:autoSpaceDN/>
              <w:bidi w:val="0"/>
              <w:adjustRightInd/>
              <w:snapToGrid/>
              <w:spacing w:line="240" w:lineRule="auto"/>
              <w:jc w:val="center"/>
              <w:rPr>
                <w:rFonts w:ascii="宋体" w:cs="宋体"/>
                <w:color w:val="auto"/>
                <w:kern w:val="0"/>
                <w:sz w:val="20"/>
                <w:szCs w:val="20"/>
                <w:highlight w:val="none"/>
              </w:rPr>
            </w:pPr>
          </w:p>
        </w:tc>
        <w:tc>
          <w:tcPr>
            <w:tcW w:w="3674" w:type="dxa"/>
            <w:gridSpan w:val="2"/>
            <w:tcBorders>
              <w:tl2br w:val="nil"/>
              <w:tr2bl w:val="nil"/>
            </w:tcBorders>
            <w:vAlign w:val="center"/>
          </w:tcPr>
          <w:p w14:paraId="582F30A4">
            <w:pPr>
              <w:keepNext w:val="0"/>
              <w:keepLines w:val="0"/>
              <w:pageBreakBefore w:val="0"/>
              <w:widowControl/>
              <w:kinsoku/>
              <w:wordWrap/>
              <w:overflowPunct/>
              <w:topLinePunct w:val="0"/>
              <w:autoSpaceDE/>
              <w:autoSpaceDN/>
              <w:bidi w:val="0"/>
              <w:adjustRightInd/>
              <w:snapToGrid/>
              <w:spacing w:line="240" w:lineRule="auto"/>
              <w:jc w:val="left"/>
              <w:textAlignment w:val="center"/>
              <w:rPr>
                <w:rFonts w:ascii="宋体" w:cs="宋体"/>
                <w:color w:val="auto"/>
                <w:kern w:val="0"/>
                <w:sz w:val="20"/>
                <w:szCs w:val="20"/>
                <w:highlight w:val="none"/>
              </w:rPr>
            </w:pPr>
            <w:r>
              <w:rPr>
                <w:rFonts w:hint="eastAsia" w:ascii="宋体" w:hAnsi="宋体" w:eastAsia="宋体" w:cs="宋体"/>
                <w:color w:val="auto"/>
                <w:kern w:val="0"/>
                <w:sz w:val="20"/>
                <w:szCs w:val="20"/>
                <w:highlight w:val="none"/>
              </w:rPr>
              <w:t xml:space="preserve">         上年结转</w:t>
            </w:r>
          </w:p>
        </w:tc>
        <w:tc>
          <w:tcPr>
            <w:tcW w:w="3903" w:type="dxa"/>
            <w:gridSpan w:val="2"/>
            <w:tcBorders>
              <w:tl2br w:val="nil"/>
              <w:tr2bl w:val="nil"/>
            </w:tcBorders>
            <w:shd w:val="clear" w:color="auto" w:fill="auto"/>
            <w:vAlign w:val="center"/>
          </w:tcPr>
          <w:p w14:paraId="6BE9F113">
            <w:pPr>
              <w:keepNext w:val="0"/>
              <w:keepLines w:val="0"/>
              <w:pageBreakBefore w:val="0"/>
              <w:widowControl/>
              <w:kinsoku/>
              <w:wordWrap/>
              <w:overflowPunct/>
              <w:topLinePunct w:val="0"/>
              <w:autoSpaceDE/>
              <w:autoSpaceDN/>
              <w:bidi w:val="0"/>
              <w:adjustRightInd/>
              <w:snapToGrid/>
              <w:spacing w:line="240" w:lineRule="auto"/>
              <w:jc w:val="right"/>
              <w:rPr>
                <w:rFonts w:ascii="宋体" w:hAnsi="宋体" w:eastAsia="宋体" w:cs="宋体"/>
                <w:color w:val="auto"/>
                <w:kern w:val="0"/>
                <w:sz w:val="20"/>
                <w:szCs w:val="20"/>
                <w:highlight w:val="none"/>
                <w:lang w:val="en-US" w:eastAsia="zh-CN" w:bidi="ar-SA"/>
              </w:rPr>
            </w:pPr>
            <w:r>
              <w:rPr>
                <w:rFonts w:hint="eastAsia" w:ascii="宋体" w:hAnsi="宋体" w:eastAsia="宋体" w:cs="宋体"/>
                <w:color w:val="auto"/>
                <w:kern w:val="0"/>
                <w:sz w:val="20"/>
                <w:szCs w:val="20"/>
                <w:highlight w:val="none"/>
              </w:rPr>
              <w:t xml:space="preserve">      0.00 </w:t>
            </w:r>
          </w:p>
        </w:tc>
      </w:tr>
      <w:tr w14:paraId="223EA8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jc w:val="center"/>
        </w:trPr>
        <w:tc>
          <w:tcPr>
            <w:tcW w:w="1443" w:type="dxa"/>
            <w:gridSpan w:val="3"/>
            <w:vMerge w:val="continue"/>
            <w:tcBorders>
              <w:tl2br w:val="nil"/>
              <w:tr2bl w:val="nil"/>
            </w:tcBorders>
            <w:vAlign w:val="center"/>
          </w:tcPr>
          <w:p w14:paraId="397DF54B">
            <w:pPr>
              <w:keepNext w:val="0"/>
              <w:keepLines w:val="0"/>
              <w:pageBreakBefore w:val="0"/>
              <w:kinsoku/>
              <w:wordWrap/>
              <w:overflowPunct/>
              <w:topLinePunct w:val="0"/>
              <w:autoSpaceDE/>
              <w:autoSpaceDN/>
              <w:bidi w:val="0"/>
              <w:adjustRightInd/>
              <w:snapToGrid/>
              <w:spacing w:line="240" w:lineRule="auto"/>
              <w:jc w:val="center"/>
              <w:rPr>
                <w:rFonts w:ascii="宋体" w:cs="宋体"/>
                <w:color w:val="auto"/>
                <w:kern w:val="0"/>
                <w:sz w:val="20"/>
                <w:szCs w:val="20"/>
                <w:highlight w:val="none"/>
              </w:rPr>
            </w:pPr>
          </w:p>
        </w:tc>
        <w:tc>
          <w:tcPr>
            <w:tcW w:w="3674" w:type="dxa"/>
            <w:gridSpan w:val="2"/>
            <w:tcBorders>
              <w:tl2br w:val="nil"/>
              <w:tr2bl w:val="nil"/>
            </w:tcBorders>
            <w:vAlign w:val="center"/>
          </w:tcPr>
          <w:p w14:paraId="3D9FE1B0">
            <w:pPr>
              <w:keepNext w:val="0"/>
              <w:keepLines w:val="0"/>
              <w:pageBreakBefore w:val="0"/>
              <w:widowControl/>
              <w:kinsoku/>
              <w:wordWrap/>
              <w:overflowPunct/>
              <w:topLinePunct w:val="0"/>
              <w:autoSpaceDE/>
              <w:autoSpaceDN/>
              <w:bidi w:val="0"/>
              <w:adjustRightInd/>
              <w:snapToGrid/>
              <w:spacing w:line="240" w:lineRule="auto"/>
              <w:jc w:val="left"/>
              <w:textAlignment w:val="center"/>
              <w:rPr>
                <w:rFonts w:ascii="宋体" w:cs="宋体"/>
                <w:color w:val="auto"/>
                <w:kern w:val="0"/>
                <w:sz w:val="20"/>
                <w:szCs w:val="20"/>
                <w:highlight w:val="none"/>
              </w:rPr>
            </w:pPr>
            <w:r>
              <w:rPr>
                <w:rFonts w:hint="eastAsia" w:ascii="宋体" w:hAnsi="宋体" w:eastAsia="宋体" w:cs="宋体"/>
                <w:color w:val="auto"/>
                <w:kern w:val="0"/>
                <w:sz w:val="20"/>
                <w:szCs w:val="20"/>
                <w:highlight w:val="none"/>
              </w:rPr>
              <w:t xml:space="preserve">         其他资金</w:t>
            </w:r>
          </w:p>
        </w:tc>
        <w:tc>
          <w:tcPr>
            <w:tcW w:w="3903" w:type="dxa"/>
            <w:gridSpan w:val="2"/>
            <w:tcBorders>
              <w:tl2br w:val="nil"/>
              <w:tr2bl w:val="nil"/>
            </w:tcBorders>
            <w:vAlign w:val="center"/>
          </w:tcPr>
          <w:p w14:paraId="0241C0F6">
            <w:pPr>
              <w:keepNext w:val="0"/>
              <w:keepLines w:val="0"/>
              <w:pageBreakBefore w:val="0"/>
              <w:kinsoku/>
              <w:wordWrap/>
              <w:overflowPunct/>
              <w:topLinePunct w:val="0"/>
              <w:autoSpaceDE/>
              <w:autoSpaceDN/>
              <w:bidi w:val="0"/>
              <w:adjustRightInd/>
              <w:snapToGrid/>
              <w:spacing w:line="240" w:lineRule="auto"/>
              <w:jc w:val="right"/>
              <w:rPr>
                <w:rFonts w:hint="default" w:ascii="宋体" w:cs="宋体" w:eastAsiaTheme="minorEastAsia"/>
                <w:color w:val="auto"/>
                <w:kern w:val="0"/>
                <w:sz w:val="20"/>
                <w:szCs w:val="20"/>
                <w:highlight w:val="none"/>
                <w:lang w:val="en-US" w:eastAsia="zh-CN"/>
              </w:rPr>
            </w:pPr>
            <w:r>
              <w:rPr>
                <w:rFonts w:hint="eastAsia" w:ascii="宋体" w:hAnsi="宋体" w:eastAsia="宋体" w:cs="宋体"/>
                <w:color w:val="auto"/>
                <w:kern w:val="0"/>
                <w:sz w:val="20"/>
                <w:szCs w:val="20"/>
                <w:highlight w:val="none"/>
              </w:rPr>
              <w:t>0.00</w:t>
            </w:r>
          </w:p>
        </w:tc>
      </w:tr>
      <w:tr w14:paraId="7C48DE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5" w:hRule="atLeast"/>
          <w:jc w:val="center"/>
        </w:trPr>
        <w:tc>
          <w:tcPr>
            <w:tcW w:w="438" w:type="dxa"/>
            <w:tcBorders>
              <w:tl2br w:val="nil"/>
              <w:tr2bl w:val="nil"/>
            </w:tcBorders>
            <w:vAlign w:val="center"/>
          </w:tcPr>
          <w:p w14:paraId="2894E11D">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ascii="宋体" w:cs="宋体"/>
                <w:color w:val="auto"/>
                <w:kern w:val="0"/>
                <w:sz w:val="20"/>
                <w:szCs w:val="20"/>
                <w:highlight w:val="none"/>
              </w:rPr>
            </w:pPr>
            <w:r>
              <w:rPr>
                <w:rFonts w:hint="eastAsia" w:ascii="宋体" w:hAnsi="宋体" w:eastAsia="宋体" w:cs="宋体"/>
                <w:color w:val="auto"/>
                <w:kern w:val="0"/>
                <w:sz w:val="20"/>
                <w:szCs w:val="20"/>
                <w:highlight w:val="none"/>
              </w:rPr>
              <w:t>年度</w:t>
            </w:r>
            <w:r>
              <w:rPr>
                <w:rFonts w:hint="eastAsia" w:ascii="宋体" w:hAnsi="宋体" w:eastAsia="宋体" w:cs="宋体"/>
                <w:color w:val="auto"/>
                <w:kern w:val="0"/>
                <w:sz w:val="20"/>
                <w:szCs w:val="20"/>
                <w:highlight w:val="none"/>
              </w:rPr>
              <w:br w:type="textWrapping"/>
            </w:r>
            <w:r>
              <w:rPr>
                <w:rFonts w:hint="eastAsia" w:ascii="宋体" w:hAnsi="宋体" w:eastAsia="宋体" w:cs="宋体"/>
                <w:color w:val="auto"/>
                <w:kern w:val="0"/>
                <w:sz w:val="20"/>
                <w:szCs w:val="20"/>
                <w:highlight w:val="none"/>
              </w:rPr>
              <w:t>目标</w:t>
            </w:r>
          </w:p>
        </w:tc>
        <w:tc>
          <w:tcPr>
            <w:tcW w:w="8582" w:type="dxa"/>
            <w:gridSpan w:val="6"/>
            <w:tcBorders>
              <w:tl2br w:val="nil"/>
              <w:tr2bl w:val="nil"/>
            </w:tcBorders>
            <w:vAlign w:val="center"/>
          </w:tcPr>
          <w:p w14:paraId="15E30E01">
            <w:pPr>
              <w:keepNext w:val="0"/>
              <w:keepLines w:val="0"/>
              <w:pageBreakBefore w:val="0"/>
              <w:kinsoku/>
              <w:wordWrap/>
              <w:overflowPunct/>
              <w:topLinePunct w:val="0"/>
              <w:autoSpaceDE/>
              <w:autoSpaceDN/>
              <w:bidi w:val="0"/>
              <w:adjustRightInd/>
              <w:snapToGrid/>
              <w:spacing w:line="240" w:lineRule="auto"/>
              <w:jc w:val="left"/>
              <w:rPr>
                <w:rFonts w:ascii="宋体" w:cs="宋体"/>
                <w:color w:val="auto"/>
                <w:kern w:val="0"/>
                <w:sz w:val="20"/>
                <w:szCs w:val="20"/>
                <w:highlight w:val="none"/>
              </w:rPr>
            </w:pPr>
            <w:r>
              <w:rPr>
                <w:rFonts w:hint="eastAsia" w:ascii="宋体" w:cs="宋体"/>
                <w:color w:val="auto"/>
                <w:kern w:val="0"/>
                <w:sz w:val="20"/>
                <w:szCs w:val="20"/>
                <w:highlight w:val="none"/>
              </w:rPr>
              <w:t>为了广大市民的食品等公共卫生安全，根据《中华人民共和国食品安全法》等规定从事食品、饮用水生产经营，公共场所直接为顾客服务的从业人员，必须按照规定进行预防性健康检查。</w:t>
            </w:r>
          </w:p>
        </w:tc>
      </w:tr>
      <w:tr w14:paraId="4290DF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8" w:hRule="atLeast"/>
          <w:jc w:val="center"/>
        </w:trPr>
        <w:tc>
          <w:tcPr>
            <w:tcW w:w="438" w:type="dxa"/>
            <w:vMerge w:val="restart"/>
            <w:tcBorders>
              <w:tl2br w:val="nil"/>
              <w:tr2bl w:val="nil"/>
            </w:tcBorders>
            <w:vAlign w:val="center"/>
          </w:tcPr>
          <w:p w14:paraId="06689DCB">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ascii="宋体" w:cs="宋体"/>
                <w:color w:val="auto"/>
                <w:kern w:val="0"/>
                <w:sz w:val="20"/>
                <w:szCs w:val="20"/>
                <w:highlight w:val="none"/>
              </w:rPr>
            </w:pPr>
            <w:r>
              <w:rPr>
                <w:rFonts w:hint="eastAsia" w:ascii="宋体" w:hAnsi="宋体" w:eastAsia="宋体" w:cs="宋体"/>
                <w:color w:val="auto"/>
                <w:kern w:val="0"/>
                <w:sz w:val="20"/>
                <w:szCs w:val="20"/>
                <w:highlight w:val="none"/>
              </w:rPr>
              <w:t>绩</w:t>
            </w:r>
            <w:r>
              <w:rPr>
                <w:rFonts w:hint="eastAsia" w:ascii="宋体" w:hAnsi="宋体" w:eastAsia="宋体" w:cs="宋体"/>
                <w:color w:val="auto"/>
                <w:kern w:val="0"/>
                <w:sz w:val="20"/>
                <w:szCs w:val="20"/>
                <w:highlight w:val="none"/>
              </w:rPr>
              <w:br w:type="textWrapping"/>
            </w:r>
            <w:r>
              <w:rPr>
                <w:rFonts w:hint="eastAsia" w:ascii="宋体" w:hAnsi="宋体" w:eastAsia="宋体" w:cs="宋体"/>
                <w:color w:val="auto"/>
                <w:kern w:val="0"/>
                <w:sz w:val="20"/>
                <w:szCs w:val="20"/>
                <w:highlight w:val="none"/>
              </w:rPr>
              <w:t>效</w:t>
            </w:r>
            <w:r>
              <w:rPr>
                <w:rFonts w:hint="eastAsia" w:ascii="宋体" w:hAnsi="宋体" w:eastAsia="宋体" w:cs="宋体"/>
                <w:color w:val="auto"/>
                <w:kern w:val="0"/>
                <w:sz w:val="20"/>
                <w:szCs w:val="20"/>
                <w:highlight w:val="none"/>
              </w:rPr>
              <w:br w:type="textWrapping"/>
            </w:r>
            <w:r>
              <w:rPr>
                <w:rFonts w:hint="eastAsia" w:ascii="宋体" w:hAnsi="宋体" w:eastAsia="宋体" w:cs="宋体"/>
                <w:color w:val="auto"/>
                <w:kern w:val="0"/>
                <w:sz w:val="20"/>
                <w:szCs w:val="20"/>
                <w:highlight w:val="none"/>
              </w:rPr>
              <w:t>指</w:t>
            </w:r>
            <w:r>
              <w:rPr>
                <w:rFonts w:hint="eastAsia" w:ascii="宋体" w:hAnsi="宋体" w:eastAsia="宋体" w:cs="宋体"/>
                <w:color w:val="auto"/>
                <w:kern w:val="0"/>
                <w:sz w:val="20"/>
                <w:szCs w:val="20"/>
                <w:highlight w:val="none"/>
              </w:rPr>
              <w:br w:type="textWrapping"/>
            </w:r>
            <w:r>
              <w:rPr>
                <w:rFonts w:hint="eastAsia" w:ascii="宋体" w:hAnsi="宋体" w:eastAsia="宋体" w:cs="宋体"/>
                <w:color w:val="auto"/>
                <w:kern w:val="0"/>
                <w:sz w:val="20"/>
                <w:szCs w:val="20"/>
                <w:highlight w:val="none"/>
              </w:rPr>
              <w:t>标</w:t>
            </w:r>
          </w:p>
        </w:tc>
        <w:tc>
          <w:tcPr>
            <w:tcW w:w="723" w:type="dxa"/>
            <w:tcBorders>
              <w:tl2br w:val="nil"/>
              <w:tr2bl w:val="nil"/>
            </w:tcBorders>
            <w:vAlign w:val="center"/>
          </w:tcPr>
          <w:p w14:paraId="42F52638">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ascii="宋体" w:cs="宋体"/>
                <w:color w:val="auto"/>
                <w:kern w:val="0"/>
                <w:sz w:val="20"/>
                <w:szCs w:val="20"/>
                <w:highlight w:val="none"/>
              </w:rPr>
            </w:pPr>
            <w:r>
              <w:rPr>
                <w:rFonts w:hint="eastAsia" w:ascii="宋体" w:hAnsi="宋体" w:eastAsia="宋体" w:cs="宋体"/>
                <w:color w:val="auto"/>
                <w:kern w:val="0"/>
                <w:sz w:val="20"/>
                <w:szCs w:val="20"/>
                <w:highlight w:val="none"/>
              </w:rPr>
              <w:t>一级</w:t>
            </w:r>
            <w:r>
              <w:rPr>
                <w:rFonts w:hint="eastAsia" w:ascii="宋体" w:hAnsi="宋体" w:eastAsia="宋体" w:cs="宋体"/>
                <w:color w:val="auto"/>
                <w:kern w:val="0"/>
                <w:sz w:val="20"/>
                <w:szCs w:val="20"/>
                <w:highlight w:val="none"/>
              </w:rPr>
              <w:br w:type="textWrapping"/>
            </w:r>
            <w:r>
              <w:rPr>
                <w:rFonts w:hint="eastAsia" w:ascii="宋体" w:hAnsi="宋体" w:eastAsia="宋体" w:cs="宋体"/>
                <w:color w:val="auto"/>
                <w:kern w:val="0"/>
                <w:sz w:val="20"/>
                <w:szCs w:val="20"/>
                <w:highlight w:val="none"/>
              </w:rPr>
              <w:t>指标</w:t>
            </w:r>
          </w:p>
        </w:tc>
        <w:tc>
          <w:tcPr>
            <w:tcW w:w="915" w:type="dxa"/>
            <w:gridSpan w:val="2"/>
            <w:tcBorders>
              <w:tl2br w:val="nil"/>
              <w:tr2bl w:val="nil"/>
            </w:tcBorders>
            <w:vAlign w:val="center"/>
          </w:tcPr>
          <w:p w14:paraId="760BB199">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ascii="宋体" w:cs="宋体"/>
                <w:color w:val="auto"/>
                <w:kern w:val="0"/>
                <w:sz w:val="20"/>
                <w:szCs w:val="20"/>
                <w:highlight w:val="none"/>
              </w:rPr>
            </w:pPr>
            <w:r>
              <w:rPr>
                <w:rFonts w:hint="eastAsia" w:ascii="宋体" w:hAnsi="宋体" w:eastAsia="宋体" w:cs="宋体"/>
                <w:color w:val="auto"/>
                <w:kern w:val="0"/>
                <w:sz w:val="20"/>
                <w:szCs w:val="20"/>
                <w:highlight w:val="none"/>
              </w:rPr>
              <w:t>二级指标</w:t>
            </w:r>
          </w:p>
        </w:tc>
        <w:tc>
          <w:tcPr>
            <w:tcW w:w="3041" w:type="dxa"/>
            <w:tcBorders>
              <w:tl2br w:val="nil"/>
              <w:tr2bl w:val="nil"/>
            </w:tcBorders>
            <w:vAlign w:val="center"/>
          </w:tcPr>
          <w:p w14:paraId="2180AD53">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ascii="宋体" w:cs="宋体"/>
                <w:color w:val="auto"/>
                <w:kern w:val="0"/>
                <w:sz w:val="20"/>
                <w:szCs w:val="20"/>
                <w:highlight w:val="none"/>
              </w:rPr>
            </w:pPr>
            <w:r>
              <w:rPr>
                <w:rFonts w:hint="eastAsia" w:ascii="宋体" w:hAnsi="宋体" w:eastAsia="宋体" w:cs="宋体"/>
                <w:color w:val="auto"/>
                <w:kern w:val="0"/>
                <w:sz w:val="20"/>
                <w:szCs w:val="20"/>
                <w:highlight w:val="none"/>
              </w:rPr>
              <w:t>三级指标</w:t>
            </w:r>
          </w:p>
        </w:tc>
        <w:tc>
          <w:tcPr>
            <w:tcW w:w="3903" w:type="dxa"/>
            <w:gridSpan w:val="2"/>
            <w:tcBorders>
              <w:tl2br w:val="nil"/>
              <w:tr2bl w:val="nil"/>
            </w:tcBorders>
            <w:vAlign w:val="center"/>
          </w:tcPr>
          <w:p w14:paraId="7EB86B10">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ascii="宋体" w:cs="宋体"/>
                <w:color w:val="auto"/>
                <w:kern w:val="0"/>
                <w:sz w:val="20"/>
                <w:szCs w:val="20"/>
                <w:highlight w:val="none"/>
              </w:rPr>
            </w:pPr>
            <w:r>
              <w:rPr>
                <w:rFonts w:hint="eastAsia" w:ascii="宋体" w:hAnsi="宋体" w:eastAsia="宋体" w:cs="宋体"/>
                <w:color w:val="auto"/>
                <w:kern w:val="0"/>
                <w:sz w:val="20"/>
                <w:szCs w:val="20"/>
                <w:highlight w:val="none"/>
              </w:rPr>
              <w:t>指标值</w:t>
            </w:r>
          </w:p>
        </w:tc>
      </w:tr>
      <w:tr w14:paraId="0B1790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3" w:hRule="atLeast"/>
          <w:jc w:val="center"/>
        </w:trPr>
        <w:tc>
          <w:tcPr>
            <w:tcW w:w="438" w:type="dxa"/>
            <w:vMerge w:val="continue"/>
            <w:tcBorders>
              <w:tl2br w:val="nil"/>
              <w:tr2bl w:val="nil"/>
            </w:tcBorders>
            <w:vAlign w:val="center"/>
          </w:tcPr>
          <w:p w14:paraId="1F158906">
            <w:pPr>
              <w:keepNext w:val="0"/>
              <w:keepLines w:val="0"/>
              <w:pageBreakBefore w:val="0"/>
              <w:kinsoku/>
              <w:wordWrap/>
              <w:overflowPunct/>
              <w:topLinePunct w:val="0"/>
              <w:autoSpaceDE/>
              <w:autoSpaceDN/>
              <w:bidi w:val="0"/>
              <w:adjustRightInd/>
              <w:snapToGrid/>
              <w:spacing w:line="240" w:lineRule="auto"/>
              <w:jc w:val="center"/>
              <w:rPr>
                <w:rFonts w:ascii="宋体" w:cs="宋体"/>
                <w:color w:val="auto"/>
                <w:kern w:val="0"/>
                <w:sz w:val="20"/>
                <w:szCs w:val="20"/>
                <w:highlight w:val="none"/>
              </w:rPr>
            </w:pPr>
          </w:p>
        </w:tc>
        <w:tc>
          <w:tcPr>
            <w:tcW w:w="723" w:type="dxa"/>
            <w:vMerge w:val="restart"/>
            <w:tcBorders>
              <w:tl2br w:val="nil"/>
              <w:tr2bl w:val="nil"/>
            </w:tcBorders>
            <w:vAlign w:val="center"/>
          </w:tcPr>
          <w:p w14:paraId="12CEB85C">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ascii="宋体" w:cs="宋体"/>
                <w:color w:val="auto"/>
                <w:kern w:val="0"/>
                <w:sz w:val="20"/>
                <w:szCs w:val="20"/>
                <w:highlight w:val="none"/>
              </w:rPr>
            </w:pPr>
            <w:r>
              <w:rPr>
                <w:rFonts w:hint="eastAsia" w:ascii="宋体" w:hAnsi="宋体" w:eastAsia="宋体" w:cs="宋体"/>
                <w:color w:val="auto"/>
                <w:kern w:val="0"/>
                <w:sz w:val="20"/>
                <w:szCs w:val="20"/>
                <w:highlight w:val="none"/>
              </w:rPr>
              <w:t>产出指标</w:t>
            </w:r>
          </w:p>
        </w:tc>
        <w:tc>
          <w:tcPr>
            <w:tcW w:w="915" w:type="dxa"/>
            <w:gridSpan w:val="2"/>
            <w:tcBorders>
              <w:tl2br w:val="nil"/>
              <w:tr2bl w:val="nil"/>
            </w:tcBorders>
            <w:vAlign w:val="center"/>
          </w:tcPr>
          <w:p w14:paraId="7055DE30">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ascii="宋体" w:cs="宋体"/>
                <w:color w:val="auto"/>
                <w:kern w:val="0"/>
                <w:sz w:val="20"/>
                <w:szCs w:val="20"/>
                <w:highlight w:val="none"/>
              </w:rPr>
            </w:pPr>
            <w:r>
              <w:rPr>
                <w:rFonts w:hint="eastAsia" w:ascii="宋体" w:hAnsi="宋体" w:eastAsia="宋体" w:cs="宋体"/>
                <w:color w:val="auto"/>
                <w:kern w:val="0"/>
                <w:sz w:val="20"/>
                <w:szCs w:val="20"/>
                <w:highlight w:val="none"/>
              </w:rPr>
              <w:t>数量指标</w:t>
            </w:r>
          </w:p>
        </w:tc>
        <w:tc>
          <w:tcPr>
            <w:tcW w:w="3041" w:type="dxa"/>
            <w:tcBorders>
              <w:tl2br w:val="nil"/>
              <w:tr2bl w:val="nil"/>
            </w:tcBorders>
            <w:vAlign w:val="center"/>
          </w:tcPr>
          <w:p w14:paraId="6FCE0654">
            <w:pPr>
              <w:keepNext w:val="0"/>
              <w:keepLines w:val="0"/>
              <w:widowControl/>
              <w:suppressLineNumbers w:val="0"/>
              <w:jc w:val="left"/>
              <w:textAlignment w:val="center"/>
              <w:rPr>
                <w:rFonts w:ascii="宋体" w:cs="宋体"/>
                <w:color w:val="auto"/>
                <w:kern w:val="0"/>
                <w:sz w:val="20"/>
                <w:szCs w:val="20"/>
                <w:highlight w:val="none"/>
              </w:rPr>
            </w:pPr>
            <w:r>
              <w:rPr>
                <w:rFonts w:hint="eastAsia" w:ascii="宋体" w:hAnsi="宋体" w:eastAsia="宋体" w:cs="宋体"/>
                <w:i w:val="0"/>
                <w:iCs w:val="0"/>
                <w:color w:val="auto"/>
                <w:kern w:val="0"/>
                <w:sz w:val="20"/>
                <w:szCs w:val="20"/>
                <w:highlight w:val="none"/>
                <w:u w:val="none"/>
                <w:lang w:val="en-US" w:eastAsia="zh-CN" w:bidi="ar"/>
              </w:rPr>
              <w:t>指标1：体检人数</w:t>
            </w:r>
          </w:p>
        </w:tc>
        <w:tc>
          <w:tcPr>
            <w:tcW w:w="3903" w:type="dxa"/>
            <w:gridSpan w:val="2"/>
            <w:tcBorders>
              <w:tl2br w:val="nil"/>
              <w:tr2bl w:val="nil"/>
            </w:tcBorders>
            <w:vAlign w:val="center"/>
          </w:tcPr>
          <w:p w14:paraId="064FA0DC">
            <w:pPr>
              <w:keepNext w:val="0"/>
              <w:keepLines w:val="0"/>
              <w:widowControl/>
              <w:suppressLineNumbers w:val="0"/>
              <w:jc w:val="center"/>
              <w:textAlignment w:val="center"/>
              <w:rPr>
                <w:rFonts w:ascii="宋体" w:cs="宋体"/>
                <w:color w:val="auto"/>
                <w:kern w:val="0"/>
                <w:sz w:val="20"/>
                <w:szCs w:val="20"/>
                <w:highlight w:val="none"/>
              </w:rPr>
            </w:pPr>
            <w:r>
              <w:rPr>
                <w:rFonts w:hint="eastAsia" w:ascii="宋体" w:hAnsi="宋体" w:eastAsia="宋体" w:cs="宋体"/>
                <w:i w:val="0"/>
                <w:iCs w:val="0"/>
                <w:color w:val="auto"/>
                <w:kern w:val="0"/>
                <w:sz w:val="20"/>
                <w:szCs w:val="20"/>
                <w:highlight w:val="none"/>
                <w:u w:val="none"/>
                <w:lang w:val="en-US" w:eastAsia="zh-CN" w:bidi="ar"/>
              </w:rPr>
              <w:t>≥35000人次</w:t>
            </w:r>
          </w:p>
        </w:tc>
      </w:tr>
      <w:tr w14:paraId="337524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3" w:hRule="atLeast"/>
          <w:jc w:val="center"/>
        </w:trPr>
        <w:tc>
          <w:tcPr>
            <w:tcW w:w="438" w:type="dxa"/>
            <w:vMerge w:val="continue"/>
            <w:tcBorders>
              <w:tl2br w:val="nil"/>
              <w:tr2bl w:val="nil"/>
            </w:tcBorders>
            <w:vAlign w:val="center"/>
          </w:tcPr>
          <w:p w14:paraId="4BEC9CFD">
            <w:pPr>
              <w:keepNext w:val="0"/>
              <w:keepLines w:val="0"/>
              <w:pageBreakBefore w:val="0"/>
              <w:kinsoku/>
              <w:wordWrap/>
              <w:overflowPunct/>
              <w:topLinePunct w:val="0"/>
              <w:autoSpaceDE/>
              <w:autoSpaceDN/>
              <w:bidi w:val="0"/>
              <w:adjustRightInd/>
              <w:snapToGrid/>
              <w:spacing w:line="240" w:lineRule="auto"/>
              <w:jc w:val="center"/>
              <w:rPr>
                <w:rFonts w:ascii="宋体" w:cs="宋体"/>
                <w:color w:val="auto"/>
                <w:kern w:val="0"/>
                <w:sz w:val="20"/>
                <w:szCs w:val="20"/>
                <w:highlight w:val="none"/>
              </w:rPr>
            </w:pPr>
          </w:p>
        </w:tc>
        <w:tc>
          <w:tcPr>
            <w:tcW w:w="723" w:type="dxa"/>
            <w:vMerge w:val="continue"/>
            <w:tcBorders>
              <w:tl2br w:val="nil"/>
              <w:tr2bl w:val="nil"/>
            </w:tcBorders>
            <w:vAlign w:val="center"/>
          </w:tcPr>
          <w:p w14:paraId="4FAA4C9D">
            <w:pPr>
              <w:keepNext w:val="0"/>
              <w:keepLines w:val="0"/>
              <w:pageBreakBefore w:val="0"/>
              <w:kinsoku/>
              <w:wordWrap/>
              <w:overflowPunct/>
              <w:topLinePunct w:val="0"/>
              <w:autoSpaceDE/>
              <w:autoSpaceDN/>
              <w:bidi w:val="0"/>
              <w:adjustRightInd/>
              <w:snapToGrid/>
              <w:spacing w:line="240" w:lineRule="auto"/>
              <w:jc w:val="center"/>
              <w:rPr>
                <w:rFonts w:ascii="宋体" w:cs="宋体"/>
                <w:color w:val="auto"/>
                <w:kern w:val="0"/>
                <w:sz w:val="20"/>
                <w:szCs w:val="20"/>
                <w:highlight w:val="none"/>
              </w:rPr>
            </w:pPr>
          </w:p>
        </w:tc>
        <w:tc>
          <w:tcPr>
            <w:tcW w:w="915" w:type="dxa"/>
            <w:gridSpan w:val="2"/>
            <w:tcBorders>
              <w:tl2br w:val="nil"/>
              <w:tr2bl w:val="nil"/>
            </w:tcBorders>
            <w:vAlign w:val="center"/>
          </w:tcPr>
          <w:p w14:paraId="5D1F84B6">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ascii="宋体" w:cs="宋体"/>
                <w:color w:val="auto"/>
                <w:kern w:val="0"/>
                <w:sz w:val="20"/>
                <w:szCs w:val="20"/>
                <w:highlight w:val="none"/>
              </w:rPr>
            </w:pPr>
            <w:r>
              <w:rPr>
                <w:rFonts w:hint="eastAsia" w:ascii="宋体" w:hAnsi="宋体" w:eastAsia="宋体" w:cs="宋体"/>
                <w:color w:val="auto"/>
                <w:kern w:val="0"/>
                <w:sz w:val="20"/>
                <w:szCs w:val="20"/>
                <w:highlight w:val="none"/>
              </w:rPr>
              <w:t>质量指标</w:t>
            </w:r>
          </w:p>
        </w:tc>
        <w:tc>
          <w:tcPr>
            <w:tcW w:w="3041" w:type="dxa"/>
            <w:tcBorders>
              <w:tl2br w:val="nil"/>
              <w:tr2bl w:val="nil"/>
            </w:tcBorders>
            <w:vAlign w:val="center"/>
          </w:tcPr>
          <w:p w14:paraId="30C0A2FD">
            <w:pPr>
              <w:keepNext w:val="0"/>
              <w:keepLines w:val="0"/>
              <w:widowControl/>
              <w:suppressLineNumbers w:val="0"/>
              <w:jc w:val="left"/>
              <w:textAlignment w:val="center"/>
              <w:rPr>
                <w:rFonts w:ascii="宋体" w:cs="宋体"/>
                <w:color w:val="auto"/>
                <w:kern w:val="0"/>
                <w:sz w:val="20"/>
                <w:szCs w:val="20"/>
                <w:highlight w:val="none"/>
              </w:rPr>
            </w:pPr>
            <w:r>
              <w:rPr>
                <w:rFonts w:hint="eastAsia" w:ascii="宋体" w:hAnsi="宋体" w:eastAsia="宋体" w:cs="宋体"/>
                <w:i w:val="0"/>
                <w:iCs w:val="0"/>
                <w:color w:val="auto"/>
                <w:kern w:val="0"/>
                <w:sz w:val="20"/>
                <w:szCs w:val="20"/>
                <w:highlight w:val="none"/>
                <w:u w:val="none"/>
                <w:lang w:val="en-US" w:eastAsia="zh-CN" w:bidi="ar"/>
              </w:rPr>
              <w:t>指标1：体检指标</w:t>
            </w:r>
          </w:p>
        </w:tc>
        <w:tc>
          <w:tcPr>
            <w:tcW w:w="3903" w:type="dxa"/>
            <w:gridSpan w:val="2"/>
            <w:tcBorders>
              <w:tl2br w:val="nil"/>
              <w:tr2bl w:val="nil"/>
            </w:tcBorders>
            <w:vAlign w:val="center"/>
          </w:tcPr>
          <w:p w14:paraId="5050AB37">
            <w:pPr>
              <w:keepNext w:val="0"/>
              <w:keepLines w:val="0"/>
              <w:widowControl/>
              <w:suppressLineNumbers w:val="0"/>
              <w:jc w:val="center"/>
              <w:textAlignment w:val="center"/>
              <w:rPr>
                <w:rFonts w:ascii="宋体" w:cs="宋体"/>
                <w:color w:val="auto"/>
                <w:kern w:val="0"/>
                <w:sz w:val="20"/>
                <w:szCs w:val="20"/>
                <w:highlight w:val="none"/>
              </w:rPr>
            </w:pPr>
            <w:r>
              <w:rPr>
                <w:rFonts w:hint="eastAsia" w:ascii="宋体" w:hAnsi="宋体" w:eastAsia="宋体" w:cs="宋体"/>
                <w:i w:val="0"/>
                <w:iCs w:val="0"/>
                <w:color w:val="auto"/>
                <w:kern w:val="0"/>
                <w:sz w:val="20"/>
                <w:szCs w:val="20"/>
                <w:highlight w:val="none"/>
                <w:u w:val="none"/>
                <w:lang w:val="en-US" w:eastAsia="zh-CN" w:bidi="ar"/>
              </w:rPr>
              <w:t>规范管理、保证质量</w:t>
            </w:r>
          </w:p>
        </w:tc>
      </w:tr>
      <w:tr w14:paraId="6FFB9D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3" w:hRule="atLeast"/>
          <w:jc w:val="center"/>
        </w:trPr>
        <w:tc>
          <w:tcPr>
            <w:tcW w:w="438" w:type="dxa"/>
            <w:vMerge w:val="continue"/>
            <w:tcBorders>
              <w:tl2br w:val="nil"/>
              <w:tr2bl w:val="nil"/>
            </w:tcBorders>
            <w:vAlign w:val="center"/>
          </w:tcPr>
          <w:p w14:paraId="69E77AA3">
            <w:pPr>
              <w:keepNext w:val="0"/>
              <w:keepLines w:val="0"/>
              <w:pageBreakBefore w:val="0"/>
              <w:kinsoku/>
              <w:wordWrap/>
              <w:overflowPunct/>
              <w:topLinePunct w:val="0"/>
              <w:autoSpaceDE/>
              <w:autoSpaceDN/>
              <w:bidi w:val="0"/>
              <w:adjustRightInd/>
              <w:snapToGrid/>
              <w:spacing w:line="240" w:lineRule="auto"/>
              <w:jc w:val="center"/>
              <w:rPr>
                <w:rFonts w:ascii="宋体" w:cs="宋体"/>
                <w:color w:val="auto"/>
                <w:kern w:val="0"/>
                <w:sz w:val="20"/>
                <w:szCs w:val="20"/>
                <w:highlight w:val="none"/>
              </w:rPr>
            </w:pPr>
          </w:p>
        </w:tc>
        <w:tc>
          <w:tcPr>
            <w:tcW w:w="723" w:type="dxa"/>
            <w:vMerge w:val="continue"/>
            <w:tcBorders>
              <w:tl2br w:val="nil"/>
              <w:tr2bl w:val="nil"/>
            </w:tcBorders>
            <w:vAlign w:val="center"/>
          </w:tcPr>
          <w:p w14:paraId="013EEAA2">
            <w:pPr>
              <w:keepNext w:val="0"/>
              <w:keepLines w:val="0"/>
              <w:pageBreakBefore w:val="0"/>
              <w:kinsoku/>
              <w:wordWrap/>
              <w:overflowPunct/>
              <w:topLinePunct w:val="0"/>
              <w:autoSpaceDE/>
              <w:autoSpaceDN/>
              <w:bidi w:val="0"/>
              <w:adjustRightInd/>
              <w:snapToGrid/>
              <w:spacing w:line="240" w:lineRule="auto"/>
              <w:jc w:val="center"/>
              <w:rPr>
                <w:rFonts w:ascii="宋体" w:cs="宋体"/>
                <w:color w:val="auto"/>
                <w:kern w:val="0"/>
                <w:sz w:val="20"/>
                <w:szCs w:val="20"/>
                <w:highlight w:val="none"/>
              </w:rPr>
            </w:pPr>
          </w:p>
        </w:tc>
        <w:tc>
          <w:tcPr>
            <w:tcW w:w="915" w:type="dxa"/>
            <w:gridSpan w:val="2"/>
            <w:tcBorders>
              <w:tl2br w:val="nil"/>
              <w:tr2bl w:val="nil"/>
            </w:tcBorders>
            <w:vAlign w:val="center"/>
          </w:tcPr>
          <w:p w14:paraId="55C523E2">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ascii="宋体" w:cs="宋体"/>
                <w:color w:val="auto"/>
                <w:kern w:val="0"/>
                <w:sz w:val="20"/>
                <w:szCs w:val="20"/>
                <w:highlight w:val="none"/>
              </w:rPr>
            </w:pPr>
            <w:r>
              <w:rPr>
                <w:rFonts w:hint="eastAsia" w:ascii="宋体" w:hAnsi="宋体" w:eastAsia="宋体" w:cs="宋体"/>
                <w:color w:val="auto"/>
                <w:kern w:val="0"/>
                <w:sz w:val="20"/>
                <w:szCs w:val="20"/>
                <w:highlight w:val="none"/>
              </w:rPr>
              <w:t>时效指标</w:t>
            </w:r>
          </w:p>
        </w:tc>
        <w:tc>
          <w:tcPr>
            <w:tcW w:w="3041" w:type="dxa"/>
            <w:tcBorders>
              <w:tl2br w:val="nil"/>
              <w:tr2bl w:val="nil"/>
            </w:tcBorders>
            <w:vAlign w:val="center"/>
          </w:tcPr>
          <w:p w14:paraId="5751DC80">
            <w:pPr>
              <w:keepNext w:val="0"/>
              <w:keepLines w:val="0"/>
              <w:widowControl/>
              <w:suppressLineNumbers w:val="0"/>
              <w:jc w:val="left"/>
              <w:textAlignment w:val="center"/>
              <w:rPr>
                <w:rFonts w:ascii="宋体" w:cs="宋体"/>
                <w:color w:val="auto"/>
                <w:kern w:val="0"/>
                <w:sz w:val="20"/>
                <w:szCs w:val="20"/>
                <w:highlight w:val="none"/>
              </w:rPr>
            </w:pPr>
            <w:r>
              <w:rPr>
                <w:rFonts w:hint="eastAsia" w:ascii="宋体" w:hAnsi="宋体" w:eastAsia="宋体" w:cs="宋体"/>
                <w:i w:val="0"/>
                <w:iCs w:val="0"/>
                <w:color w:val="auto"/>
                <w:kern w:val="0"/>
                <w:sz w:val="20"/>
                <w:szCs w:val="20"/>
                <w:highlight w:val="none"/>
                <w:u w:val="none"/>
                <w:lang w:val="en-US" w:eastAsia="zh-CN" w:bidi="ar"/>
              </w:rPr>
              <w:t>指标1：体检效率</w:t>
            </w:r>
          </w:p>
        </w:tc>
        <w:tc>
          <w:tcPr>
            <w:tcW w:w="3903" w:type="dxa"/>
            <w:gridSpan w:val="2"/>
            <w:tcBorders>
              <w:tl2br w:val="nil"/>
              <w:tr2bl w:val="nil"/>
            </w:tcBorders>
            <w:vAlign w:val="center"/>
          </w:tcPr>
          <w:p w14:paraId="1AD92B41">
            <w:pPr>
              <w:keepNext w:val="0"/>
              <w:keepLines w:val="0"/>
              <w:widowControl/>
              <w:suppressLineNumbers w:val="0"/>
              <w:jc w:val="center"/>
              <w:textAlignment w:val="center"/>
              <w:rPr>
                <w:rFonts w:ascii="宋体" w:cs="宋体"/>
                <w:color w:val="auto"/>
                <w:kern w:val="0"/>
                <w:sz w:val="20"/>
                <w:szCs w:val="20"/>
                <w:highlight w:val="none"/>
              </w:rPr>
            </w:pPr>
            <w:r>
              <w:rPr>
                <w:rFonts w:hint="eastAsia" w:ascii="宋体" w:hAnsi="宋体" w:eastAsia="宋体" w:cs="宋体"/>
                <w:i w:val="0"/>
                <w:iCs w:val="0"/>
                <w:color w:val="auto"/>
                <w:kern w:val="0"/>
                <w:sz w:val="20"/>
                <w:szCs w:val="20"/>
                <w:highlight w:val="none"/>
                <w:u w:val="none"/>
                <w:lang w:val="en-US" w:eastAsia="zh-CN" w:bidi="ar"/>
              </w:rPr>
              <w:t>规定时间内，高效完成</w:t>
            </w:r>
          </w:p>
        </w:tc>
      </w:tr>
      <w:tr w14:paraId="34CFD4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3" w:hRule="atLeast"/>
          <w:jc w:val="center"/>
        </w:trPr>
        <w:tc>
          <w:tcPr>
            <w:tcW w:w="438" w:type="dxa"/>
            <w:vMerge w:val="continue"/>
            <w:tcBorders>
              <w:tl2br w:val="nil"/>
              <w:tr2bl w:val="nil"/>
            </w:tcBorders>
            <w:vAlign w:val="center"/>
          </w:tcPr>
          <w:p w14:paraId="37D1A718">
            <w:pPr>
              <w:keepNext w:val="0"/>
              <w:keepLines w:val="0"/>
              <w:pageBreakBefore w:val="0"/>
              <w:kinsoku/>
              <w:wordWrap/>
              <w:overflowPunct/>
              <w:topLinePunct w:val="0"/>
              <w:autoSpaceDE/>
              <w:autoSpaceDN/>
              <w:bidi w:val="0"/>
              <w:adjustRightInd/>
              <w:snapToGrid/>
              <w:spacing w:line="240" w:lineRule="auto"/>
              <w:jc w:val="center"/>
              <w:rPr>
                <w:rFonts w:ascii="宋体" w:cs="宋体"/>
                <w:color w:val="auto"/>
                <w:kern w:val="0"/>
                <w:sz w:val="20"/>
                <w:szCs w:val="20"/>
              </w:rPr>
            </w:pPr>
          </w:p>
        </w:tc>
        <w:tc>
          <w:tcPr>
            <w:tcW w:w="723" w:type="dxa"/>
            <w:vMerge w:val="continue"/>
            <w:tcBorders>
              <w:tl2br w:val="nil"/>
              <w:tr2bl w:val="nil"/>
            </w:tcBorders>
            <w:vAlign w:val="center"/>
          </w:tcPr>
          <w:p w14:paraId="2B8167A6">
            <w:pPr>
              <w:keepNext w:val="0"/>
              <w:keepLines w:val="0"/>
              <w:pageBreakBefore w:val="0"/>
              <w:kinsoku/>
              <w:wordWrap/>
              <w:overflowPunct/>
              <w:topLinePunct w:val="0"/>
              <w:autoSpaceDE/>
              <w:autoSpaceDN/>
              <w:bidi w:val="0"/>
              <w:adjustRightInd/>
              <w:snapToGrid/>
              <w:spacing w:line="240" w:lineRule="auto"/>
              <w:jc w:val="center"/>
              <w:rPr>
                <w:rFonts w:ascii="宋体" w:cs="宋体"/>
                <w:color w:val="auto"/>
                <w:kern w:val="0"/>
                <w:sz w:val="20"/>
                <w:szCs w:val="20"/>
              </w:rPr>
            </w:pPr>
          </w:p>
        </w:tc>
        <w:tc>
          <w:tcPr>
            <w:tcW w:w="915" w:type="dxa"/>
            <w:gridSpan w:val="2"/>
            <w:tcBorders>
              <w:tl2br w:val="nil"/>
              <w:tr2bl w:val="nil"/>
            </w:tcBorders>
            <w:vAlign w:val="center"/>
          </w:tcPr>
          <w:p w14:paraId="41C43D18">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ascii="宋体" w:cs="宋体"/>
                <w:color w:val="auto"/>
                <w:kern w:val="0"/>
                <w:sz w:val="20"/>
                <w:szCs w:val="20"/>
              </w:rPr>
            </w:pPr>
            <w:r>
              <w:rPr>
                <w:rFonts w:hint="eastAsia" w:ascii="宋体" w:hAnsi="宋体" w:eastAsia="宋体" w:cs="宋体"/>
                <w:color w:val="auto"/>
                <w:kern w:val="0"/>
                <w:sz w:val="20"/>
                <w:szCs w:val="20"/>
              </w:rPr>
              <w:t>成本指标</w:t>
            </w:r>
          </w:p>
        </w:tc>
        <w:tc>
          <w:tcPr>
            <w:tcW w:w="3041" w:type="dxa"/>
            <w:tcBorders>
              <w:tl2br w:val="nil"/>
              <w:tr2bl w:val="nil"/>
            </w:tcBorders>
            <w:vAlign w:val="center"/>
          </w:tcPr>
          <w:p w14:paraId="70C7737C">
            <w:pPr>
              <w:keepNext w:val="0"/>
              <w:keepLines w:val="0"/>
              <w:widowControl/>
              <w:suppressLineNumbers w:val="0"/>
              <w:jc w:val="left"/>
              <w:textAlignment w:val="center"/>
              <w:rPr>
                <w:rFonts w:ascii="宋体" w:cs="宋体"/>
                <w:color w:val="auto"/>
                <w:kern w:val="0"/>
                <w:sz w:val="20"/>
                <w:szCs w:val="20"/>
              </w:rPr>
            </w:pPr>
            <w:r>
              <w:rPr>
                <w:rFonts w:hint="eastAsia" w:ascii="宋体" w:hAnsi="宋体" w:eastAsia="宋体" w:cs="宋体"/>
                <w:i w:val="0"/>
                <w:iCs w:val="0"/>
                <w:color w:val="auto"/>
                <w:kern w:val="0"/>
                <w:sz w:val="20"/>
                <w:szCs w:val="20"/>
                <w:u w:val="none"/>
                <w:lang w:val="en-US" w:eastAsia="zh-CN" w:bidi="ar"/>
              </w:rPr>
              <w:t>指标1：项目总经费</w:t>
            </w:r>
          </w:p>
        </w:tc>
        <w:tc>
          <w:tcPr>
            <w:tcW w:w="3903" w:type="dxa"/>
            <w:gridSpan w:val="2"/>
            <w:tcBorders>
              <w:tl2br w:val="nil"/>
              <w:tr2bl w:val="nil"/>
            </w:tcBorders>
            <w:vAlign w:val="center"/>
          </w:tcPr>
          <w:p w14:paraId="61B242B4">
            <w:pPr>
              <w:keepNext w:val="0"/>
              <w:keepLines w:val="0"/>
              <w:widowControl/>
              <w:suppressLineNumbers w:val="0"/>
              <w:jc w:val="center"/>
              <w:textAlignment w:val="center"/>
              <w:rPr>
                <w:rFonts w:ascii="宋体" w:cs="宋体"/>
                <w:color w:val="auto"/>
                <w:kern w:val="0"/>
                <w:sz w:val="20"/>
                <w:szCs w:val="20"/>
              </w:rPr>
            </w:pPr>
            <w:r>
              <w:rPr>
                <w:rFonts w:hint="eastAsia" w:ascii="宋体" w:hAnsi="宋体" w:eastAsia="宋体" w:cs="宋体"/>
                <w:i w:val="0"/>
                <w:iCs w:val="0"/>
                <w:color w:val="auto"/>
                <w:kern w:val="0"/>
                <w:sz w:val="20"/>
                <w:szCs w:val="20"/>
                <w:u w:val="none"/>
                <w:lang w:val="en-US" w:eastAsia="zh-CN" w:bidi="ar"/>
              </w:rPr>
              <w:t>≤100万元</w:t>
            </w:r>
          </w:p>
        </w:tc>
      </w:tr>
      <w:tr w14:paraId="7A1081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3" w:hRule="atLeast"/>
          <w:jc w:val="center"/>
        </w:trPr>
        <w:tc>
          <w:tcPr>
            <w:tcW w:w="438" w:type="dxa"/>
            <w:vMerge w:val="continue"/>
            <w:tcBorders>
              <w:tl2br w:val="nil"/>
              <w:tr2bl w:val="nil"/>
            </w:tcBorders>
            <w:vAlign w:val="center"/>
          </w:tcPr>
          <w:p w14:paraId="29430549">
            <w:pPr>
              <w:keepNext w:val="0"/>
              <w:keepLines w:val="0"/>
              <w:pageBreakBefore w:val="0"/>
              <w:kinsoku/>
              <w:wordWrap/>
              <w:overflowPunct/>
              <w:topLinePunct w:val="0"/>
              <w:autoSpaceDE/>
              <w:autoSpaceDN/>
              <w:bidi w:val="0"/>
              <w:adjustRightInd/>
              <w:snapToGrid/>
              <w:spacing w:line="240" w:lineRule="auto"/>
              <w:jc w:val="center"/>
              <w:rPr>
                <w:rFonts w:ascii="宋体" w:cs="宋体"/>
                <w:color w:val="auto"/>
                <w:kern w:val="0"/>
                <w:sz w:val="20"/>
                <w:szCs w:val="20"/>
              </w:rPr>
            </w:pPr>
          </w:p>
        </w:tc>
        <w:tc>
          <w:tcPr>
            <w:tcW w:w="723" w:type="dxa"/>
            <w:vMerge w:val="restart"/>
            <w:tcBorders>
              <w:tl2br w:val="nil"/>
              <w:tr2bl w:val="nil"/>
            </w:tcBorders>
            <w:vAlign w:val="center"/>
          </w:tcPr>
          <w:p w14:paraId="42387469">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ascii="宋体" w:cs="宋体"/>
                <w:color w:val="auto"/>
                <w:kern w:val="0"/>
                <w:sz w:val="20"/>
                <w:szCs w:val="20"/>
              </w:rPr>
            </w:pPr>
            <w:r>
              <w:rPr>
                <w:rFonts w:hint="eastAsia" w:ascii="宋体" w:hAnsi="宋体" w:eastAsia="宋体" w:cs="宋体"/>
                <w:color w:val="auto"/>
                <w:kern w:val="0"/>
                <w:sz w:val="20"/>
                <w:szCs w:val="20"/>
              </w:rPr>
              <w:t>效益指标</w:t>
            </w:r>
          </w:p>
        </w:tc>
        <w:tc>
          <w:tcPr>
            <w:tcW w:w="915" w:type="dxa"/>
            <w:gridSpan w:val="2"/>
            <w:tcBorders>
              <w:tl2br w:val="nil"/>
              <w:tr2bl w:val="nil"/>
            </w:tcBorders>
            <w:vAlign w:val="center"/>
          </w:tcPr>
          <w:p w14:paraId="198C3817">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ascii="宋体" w:cs="宋体"/>
                <w:color w:val="auto"/>
                <w:kern w:val="0"/>
                <w:sz w:val="20"/>
                <w:szCs w:val="20"/>
              </w:rPr>
            </w:pPr>
            <w:r>
              <w:rPr>
                <w:rFonts w:hint="eastAsia" w:ascii="宋体" w:hAnsi="宋体" w:eastAsia="宋体" w:cs="宋体"/>
                <w:color w:val="auto"/>
                <w:kern w:val="0"/>
                <w:sz w:val="20"/>
                <w:szCs w:val="20"/>
              </w:rPr>
              <w:t>经济效益指标</w:t>
            </w:r>
          </w:p>
        </w:tc>
        <w:tc>
          <w:tcPr>
            <w:tcW w:w="3041" w:type="dxa"/>
            <w:tcBorders>
              <w:tl2br w:val="nil"/>
              <w:tr2bl w:val="nil"/>
            </w:tcBorders>
            <w:vAlign w:val="center"/>
          </w:tcPr>
          <w:p w14:paraId="35A4BA19">
            <w:pPr>
              <w:keepNext w:val="0"/>
              <w:keepLines w:val="0"/>
              <w:widowControl/>
              <w:suppressLineNumbers w:val="0"/>
              <w:jc w:val="left"/>
              <w:textAlignment w:val="center"/>
              <w:rPr>
                <w:rFonts w:ascii="宋体" w:cs="宋体"/>
                <w:color w:val="auto"/>
                <w:kern w:val="0"/>
                <w:sz w:val="20"/>
                <w:szCs w:val="20"/>
              </w:rPr>
            </w:pPr>
            <w:r>
              <w:rPr>
                <w:rFonts w:hint="eastAsia" w:ascii="宋体" w:hAnsi="宋体" w:eastAsia="宋体" w:cs="宋体"/>
                <w:i w:val="0"/>
                <w:iCs w:val="0"/>
                <w:color w:val="auto"/>
                <w:kern w:val="0"/>
                <w:sz w:val="20"/>
                <w:szCs w:val="20"/>
                <w:u w:val="none"/>
                <w:lang w:val="en-US" w:eastAsia="zh-CN" w:bidi="ar"/>
              </w:rPr>
              <w:t>指标1：保障食品生产经营、公共场所等从业人员身体健康，减少社会医疗成本</w:t>
            </w:r>
          </w:p>
        </w:tc>
        <w:tc>
          <w:tcPr>
            <w:tcW w:w="3903" w:type="dxa"/>
            <w:gridSpan w:val="2"/>
            <w:tcBorders>
              <w:tl2br w:val="nil"/>
              <w:tr2bl w:val="nil"/>
            </w:tcBorders>
            <w:vAlign w:val="center"/>
          </w:tcPr>
          <w:p w14:paraId="77CF11A4">
            <w:pPr>
              <w:keepNext w:val="0"/>
              <w:keepLines w:val="0"/>
              <w:widowControl/>
              <w:suppressLineNumbers w:val="0"/>
              <w:jc w:val="center"/>
              <w:textAlignment w:val="center"/>
              <w:rPr>
                <w:rFonts w:hint="eastAsia" w:ascii="宋体" w:cs="宋体" w:eastAsiaTheme="minorEastAsia"/>
                <w:color w:val="auto"/>
                <w:kern w:val="0"/>
                <w:sz w:val="20"/>
                <w:szCs w:val="20"/>
                <w:lang w:val="en-US" w:eastAsia="zh-CN"/>
              </w:rPr>
            </w:pPr>
            <w:r>
              <w:rPr>
                <w:rFonts w:hint="eastAsia" w:ascii="宋体" w:hAnsi="宋体" w:eastAsia="宋体" w:cs="宋体"/>
                <w:i w:val="0"/>
                <w:iCs w:val="0"/>
                <w:color w:val="auto"/>
                <w:kern w:val="0"/>
                <w:sz w:val="20"/>
                <w:szCs w:val="20"/>
                <w:u w:val="none"/>
                <w:lang w:val="en-US" w:eastAsia="zh-CN" w:bidi="ar"/>
              </w:rPr>
              <w:t>不断提高</w:t>
            </w:r>
          </w:p>
        </w:tc>
      </w:tr>
      <w:tr w14:paraId="07EAB4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3" w:hRule="atLeast"/>
          <w:jc w:val="center"/>
        </w:trPr>
        <w:tc>
          <w:tcPr>
            <w:tcW w:w="438" w:type="dxa"/>
            <w:vMerge w:val="continue"/>
            <w:tcBorders>
              <w:tl2br w:val="nil"/>
              <w:tr2bl w:val="nil"/>
            </w:tcBorders>
            <w:vAlign w:val="center"/>
          </w:tcPr>
          <w:p w14:paraId="10BED054">
            <w:pPr>
              <w:keepNext w:val="0"/>
              <w:keepLines w:val="0"/>
              <w:pageBreakBefore w:val="0"/>
              <w:kinsoku/>
              <w:wordWrap/>
              <w:overflowPunct/>
              <w:topLinePunct w:val="0"/>
              <w:autoSpaceDE/>
              <w:autoSpaceDN/>
              <w:bidi w:val="0"/>
              <w:adjustRightInd/>
              <w:snapToGrid/>
              <w:spacing w:line="240" w:lineRule="auto"/>
              <w:jc w:val="center"/>
              <w:rPr>
                <w:rFonts w:ascii="宋体" w:cs="宋体"/>
                <w:color w:val="auto"/>
                <w:kern w:val="0"/>
                <w:sz w:val="20"/>
                <w:szCs w:val="20"/>
              </w:rPr>
            </w:pPr>
          </w:p>
        </w:tc>
        <w:tc>
          <w:tcPr>
            <w:tcW w:w="723" w:type="dxa"/>
            <w:vMerge w:val="continue"/>
            <w:tcBorders>
              <w:tl2br w:val="nil"/>
              <w:tr2bl w:val="nil"/>
            </w:tcBorders>
            <w:vAlign w:val="center"/>
          </w:tcPr>
          <w:p w14:paraId="285003D3">
            <w:pPr>
              <w:keepNext w:val="0"/>
              <w:keepLines w:val="0"/>
              <w:pageBreakBefore w:val="0"/>
              <w:kinsoku/>
              <w:wordWrap/>
              <w:overflowPunct/>
              <w:topLinePunct w:val="0"/>
              <w:autoSpaceDE/>
              <w:autoSpaceDN/>
              <w:bidi w:val="0"/>
              <w:adjustRightInd/>
              <w:snapToGrid/>
              <w:spacing w:line="240" w:lineRule="auto"/>
              <w:jc w:val="center"/>
              <w:rPr>
                <w:rFonts w:ascii="宋体" w:cs="宋体"/>
                <w:color w:val="auto"/>
                <w:kern w:val="0"/>
                <w:sz w:val="20"/>
                <w:szCs w:val="20"/>
              </w:rPr>
            </w:pPr>
          </w:p>
        </w:tc>
        <w:tc>
          <w:tcPr>
            <w:tcW w:w="915" w:type="dxa"/>
            <w:gridSpan w:val="2"/>
            <w:tcBorders>
              <w:tl2br w:val="nil"/>
              <w:tr2bl w:val="nil"/>
            </w:tcBorders>
            <w:vAlign w:val="center"/>
          </w:tcPr>
          <w:p w14:paraId="4AB912A9">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ascii="宋体" w:cs="宋体"/>
                <w:color w:val="auto"/>
                <w:kern w:val="0"/>
                <w:sz w:val="20"/>
                <w:szCs w:val="20"/>
              </w:rPr>
            </w:pPr>
            <w:r>
              <w:rPr>
                <w:rFonts w:hint="eastAsia" w:ascii="宋体" w:hAnsi="宋体" w:eastAsia="宋体" w:cs="宋体"/>
                <w:color w:val="auto"/>
                <w:kern w:val="0"/>
                <w:sz w:val="20"/>
                <w:szCs w:val="20"/>
              </w:rPr>
              <w:t>社会效益指标</w:t>
            </w:r>
          </w:p>
        </w:tc>
        <w:tc>
          <w:tcPr>
            <w:tcW w:w="3041" w:type="dxa"/>
            <w:tcBorders>
              <w:tl2br w:val="nil"/>
              <w:tr2bl w:val="nil"/>
            </w:tcBorders>
            <w:vAlign w:val="center"/>
          </w:tcPr>
          <w:p w14:paraId="52F271CD">
            <w:pPr>
              <w:keepNext w:val="0"/>
              <w:keepLines w:val="0"/>
              <w:widowControl/>
              <w:suppressLineNumbers w:val="0"/>
              <w:jc w:val="left"/>
              <w:textAlignment w:val="center"/>
              <w:rPr>
                <w:rFonts w:ascii="宋体" w:cs="宋体"/>
                <w:color w:val="auto"/>
                <w:kern w:val="0"/>
                <w:sz w:val="20"/>
                <w:szCs w:val="20"/>
              </w:rPr>
            </w:pPr>
            <w:r>
              <w:rPr>
                <w:rFonts w:hint="eastAsia" w:ascii="宋体" w:hAnsi="宋体" w:eastAsia="宋体" w:cs="宋体"/>
                <w:i w:val="0"/>
                <w:iCs w:val="0"/>
                <w:color w:val="auto"/>
                <w:kern w:val="0"/>
                <w:sz w:val="20"/>
                <w:szCs w:val="20"/>
                <w:u w:val="none"/>
                <w:lang w:val="en-US" w:eastAsia="zh-CN" w:bidi="ar"/>
              </w:rPr>
              <w:t>指标1：保障我市食品安全和消费者的身体健康</w:t>
            </w:r>
          </w:p>
        </w:tc>
        <w:tc>
          <w:tcPr>
            <w:tcW w:w="3903" w:type="dxa"/>
            <w:gridSpan w:val="2"/>
            <w:tcBorders>
              <w:tl2br w:val="nil"/>
              <w:tr2bl w:val="nil"/>
            </w:tcBorders>
            <w:vAlign w:val="center"/>
          </w:tcPr>
          <w:p w14:paraId="4AE82420">
            <w:pPr>
              <w:keepNext w:val="0"/>
              <w:keepLines w:val="0"/>
              <w:widowControl/>
              <w:suppressLineNumbers w:val="0"/>
              <w:jc w:val="center"/>
              <w:textAlignment w:val="center"/>
              <w:rPr>
                <w:rFonts w:hint="default" w:ascii="宋体" w:cs="宋体" w:eastAsiaTheme="minorEastAsia"/>
                <w:color w:val="auto"/>
                <w:kern w:val="0"/>
                <w:sz w:val="20"/>
                <w:szCs w:val="20"/>
                <w:lang w:val="en-US" w:eastAsia="zh-CN"/>
              </w:rPr>
            </w:pPr>
            <w:r>
              <w:rPr>
                <w:rFonts w:hint="eastAsia" w:ascii="宋体" w:hAnsi="宋体" w:eastAsia="宋体" w:cs="宋体"/>
                <w:i w:val="0"/>
                <w:iCs w:val="0"/>
                <w:color w:val="auto"/>
                <w:kern w:val="0"/>
                <w:sz w:val="20"/>
                <w:szCs w:val="20"/>
                <w:u w:val="none"/>
                <w:lang w:val="en-US" w:eastAsia="zh-CN" w:bidi="ar"/>
              </w:rPr>
              <w:t>不断提高</w:t>
            </w:r>
          </w:p>
        </w:tc>
      </w:tr>
      <w:tr w14:paraId="425BB0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3" w:hRule="atLeast"/>
          <w:jc w:val="center"/>
        </w:trPr>
        <w:tc>
          <w:tcPr>
            <w:tcW w:w="438" w:type="dxa"/>
            <w:vMerge w:val="continue"/>
            <w:tcBorders>
              <w:tl2br w:val="nil"/>
              <w:tr2bl w:val="nil"/>
            </w:tcBorders>
            <w:vAlign w:val="center"/>
          </w:tcPr>
          <w:p w14:paraId="0A39CC40">
            <w:pPr>
              <w:keepNext w:val="0"/>
              <w:keepLines w:val="0"/>
              <w:pageBreakBefore w:val="0"/>
              <w:kinsoku/>
              <w:wordWrap/>
              <w:overflowPunct/>
              <w:topLinePunct w:val="0"/>
              <w:autoSpaceDE/>
              <w:autoSpaceDN/>
              <w:bidi w:val="0"/>
              <w:adjustRightInd/>
              <w:snapToGrid/>
              <w:spacing w:line="240" w:lineRule="auto"/>
              <w:jc w:val="center"/>
              <w:rPr>
                <w:rFonts w:ascii="宋体" w:cs="宋体"/>
                <w:color w:val="auto"/>
                <w:kern w:val="0"/>
                <w:sz w:val="20"/>
                <w:szCs w:val="20"/>
              </w:rPr>
            </w:pPr>
          </w:p>
        </w:tc>
        <w:tc>
          <w:tcPr>
            <w:tcW w:w="723" w:type="dxa"/>
            <w:vMerge w:val="continue"/>
            <w:tcBorders>
              <w:tl2br w:val="nil"/>
              <w:tr2bl w:val="nil"/>
            </w:tcBorders>
            <w:vAlign w:val="center"/>
          </w:tcPr>
          <w:p w14:paraId="484BFD66">
            <w:pPr>
              <w:keepNext w:val="0"/>
              <w:keepLines w:val="0"/>
              <w:pageBreakBefore w:val="0"/>
              <w:kinsoku/>
              <w:wordWrap/>
              <w:overflowPunct/>
              <w:topLinePunct w:val="0"/>
              <w:autoSpaceDE/>
              <w:autoSpaceDN/>
              <w:bidi w:val="0"/>
              <w:adjustRightInd/>
              <w:snapToGrid/>
              <w:spacing w:line="240" w:lineRule="auto"/>
              <w:jc w:val="center"/>
              <w:rPr>
                <w:rFonts w:ascii="宋体" w:cs="宋体"/>
                <w:color w:val="auto"/>
                <w:kern w:val="0"/>
                <w:sz w:val="20"/>
                <w:szCs w:val="20"/>
              </w:rPr>
            </w:pPr>
          </w:p>
        </w:tc>
        <w:tc>
          <w:tcPr>
            <w:tcW w:w="915" w:type="dxa"/>
            <w:gridSpan w:val="2"/>
            <w:tcBorders>
              <w:tl2br w:val="nil"/>
              <w:tr2bl w:val="nil"/>
            </w:tcBorders>
            <w:vAlign w:val="center"/>
          </w:tcPr>
          <w:p w14:paraId="5C4E161A">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ascii="宋体" w:cs="宋体"/>
                <w:color w:val="auto"/>
                <w:kern w:val="0"/>
                <w:sz w:val="20"/>
                <w:szCs w:val="20"/>
              </w:rPr>
            </w:pPr>
            <w:r>
              <w:rPr>
                <w:rFonts w:hint="eastAsia" w:ascii="宋体" w:hAnsi="宋体" w:eastAsia="宋体" w:cs="宋体"/>
                <w:color w:val="auto"/>
                <w:kern w:val="0"/>
                <w:sz w:val="20"/>
                <w:szCs w:val="20"/>
              </w:rPr>
              <w:t>生态效益指标</w:t>
            </w:r>
          </w:p>
        </w:tc>
        <w:tc>
          <w:tcPr>
            <w:tcW w:w="3041" w:type="dxa"/>
            <w:tcBorders>
              <w:tl2br w:val="nil"/>
              <w:tr2bl w:val="nil"/>
            </w:tcBorders>
            <w:vAlign w:val="center"/>
          </w:tcPr>
          <w:p w14:paraId="457B646E">
            <w:pPr>
              <w:keepNext w:val="0"/>
              <w:keepLines w:val="0"/>
              <w:widowControl/>
              <w:suppressLineNumbers w:val="0"/>
              <w:jc w:val="left"/>
              <w:textAlignment w:val="center"/>
              <w:rPr>
                <w:rFonts w:ascii="宋体" w:cs="宋体"/>
                <w:color w:val="auto"/>
                <w:kern w:val="0"/>
                <w:sz w:val="20"/>
                <w:szCs w:val="20"/>
              </w:rPr>
            </w:pPr>
            <w:r>
              <w:rPr>
                <w:rFonts w:hint="eastAsia" w:ascii="宋体" w:hAnsi="宋体" w:eastAsia="宋体" w:cs="宋体"/>
                <w:i w:val="0"/>
                <w:iCs w:val="0"/>
                <w:color w:val="auto"/>
                <w:kern w:val="0"/>
                <w:sz w:val="20"/>
                <w:szCs w:val="20"/>
                <w:u w:val="none"/>
                <w:lang w:val="en-US" w:eastAsia="zh-CN" w:bidi="ar"/>
              </w:rPr>
              <w:t>指标1：保障食品安全，减少环境污染</w:t>
            </w:r>
          </w:p>
        </w:tc>
        <w:tc>
          <w:tcPr>
            <w:tcW w:w="3903" w:type="dxa"/>
            <w:gridSpan w:val="2"/>
            <w:tcBorders>
              <w:tl2br w:val="nil"/>
              <w:tr2bl w:val="nil"/>
            </w:tcBorders>
            <w:vAlign w:val="center"/>
          </w:tcPr>
          <w:p w14:paraId="5FC99A18">
            <w:pPr>
              <w:keepNext w:val="0"/>
              <w:keepLines w:val="0"/>
              <w:widowControl/>
              <w:suppressLineNumbers w:val="0"/>
              <w:jc w:val="center"/>
              <w:textAlignment w:val="center"/>
              <w:rPr>
                <w:rFonts w:ascii="宋体" w:cs="宋体"/>
                <w:color w:val="auto"/>
                <w:kern w:val="0"/>
                <w:sz w:val="20"/>
                <w:szCs w:val="20"/>
              </w:rPr>
            </w:pPr>
            <w:r>
              <w:rPr>
                <w:rFonts w:hint="eastAsia" w:ascii="宋体" w:hAnsi="宋体" w:eastAsia="宋体" w:cs="宋体"/>
                <w:i w:val="0"/>
                <w:iCs w:val="0"/>
                <w:color w:val="auto"/>
                <w:kern w:val="0"/>
                <w:sz w:val="20"/>
                <w:szCs w:val="20"/>
                <w:u w:val="none"/>
                <w:lang w:val="en-US" w:eastAsia="zh-CN" w:bidi="ar"/>
              </w:rPr>
              <w:t>不断提高</w:t>
            </w:r>
          </w:p>
        </w:tc>
      </w:tr>
      <w:tr w14:paraId="3FF314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jc w:val="center"/>
        </w:trPr>
        <w:tc>
          <w:tcPr>
            <w:tcW w:w="438" w:type="dxa"/>
            <w:vMerge w:val="continue"/>
            <w:tcBorders>
              <w:tl2br w:val="nil"/>
              <w:tr2bl w:val="nil"/>
            </w:tcBorders>
            <w:vAlign w:val="center"/>
          </w:tcPr>
          <w:p w14:paraId="11444914">
            <w:pPr>
              <w:keepNext w:val="0"/>
              <w:keepLines w:val="0"/>
              <w:pageBreakBefore w:val="0"/>
              <w:kinsoku/>
              <w:wordWrap/>
              <w:overflowPunct/>
              <w:topLinePunct w:val="0"/>
              <w:autoSpaceDE/>
              <w:autoSpaceDN/>
              <w:bidi w:val="0"/>
              <w:adjustRightInd/>
              <w:snapToGrid/>
              <w:spacing w:line="240" w:lineRule="auto"/>
              <w:jc w:val="center"/>
              <w:rPr>
                <w:rFonts w:ascii="宋体" w:cs="宋体"/>
                <w:color w:val="auto"/>
                <w:kern w:val="0"/>
                <w:sz w:val="20"/>
                <w:szCs w:val="20"/>
              </w:rPr>
            </w:pPr>
          </w:p>
        </w:tc>
        <w:tc>
          <w:tcPr>
            <w:tcW w:w="723" w:type="dxa"/>
            <w:vMerge w:val="continue"/>
            <w:tcBorders>
              <w:tl2br w:val="nil"/>
              <w:tr2bl w:val="nil"/>
            </w:tcBorders>
            <w:vAlign w:val="center"/>
          </w:tcPr>
          <w:p w14:paraId="04BFE908">
            <w:pPr>
              <w:keepNext w:val="0"/>
              <w:keepLines w:val="0"/>
              <w:pageBreakBefore w:val="0"/>
              <w:kinsoku/>
              <w:wordWrap/>
              <w:overflowPunct/>
              <w:topLinePunct w:val="0"/>
              <w:autoSpaceDE/>
              <w:autoSpaceDN/>
              <w:bidi w:val="0"/>
              <w:adjustRightInd/>
              <w:snapToGrid/>
              <w:spacing w:line="240" w:lineRule="auto"/>
              <w:jc w:val="center"/>
              <w:rPr>
                <w:rFonts w:ascii="宋体" w:cs="宋体"/>
                <w:color w:val="auto"/>
                <w:kern w:val="0"/>
                <w:sz w:val="20"/>
                <w:szCs w:val="20"/>
              </w:rPr>
            </w:pPr>
          </w:p>
        </w:tc>
        <w:tc>
          <w:tcPr>
            <w:tcW w:w="915" w:type="dxa"/>
            <w:gridSpan w:val="2"/>
            <w:tcBorders>
              <w:tl2br w:val="nil"/>
              <w:tr2bl w:val="nil"/>
            </w:tcBorders>
            <w:vAlign w:val="center"/>
          </w:tcPr>
          <w:p w14:paraId="332B130A">
            <w:pPr>
              <w:keepNext w:val="0"/>
              <w:keepLines w:val="0"/>
              <w:pageBreakBefore w:val="0"/>
              <w:widowControl/>
              <w:kinsoku/>
              <w:wordWrap/>
              <w:overflowPunct/>
              <w:topLinePunct w:val="0"/>
              <w:autoSpaceDE/>
              <w:autoSpaceDN/>
              <w:bidi w:val="0"/>
              <w:adjustRightInd/>
              <w:snapToGrid/>
              <w:spacing w:line="240" w:lineRule="auto"/>
              <w:jc w:val="center"/>
              <w:rPr>
                <w:rFonts w:ascii="宋体" w:hAnsi="宋体" w:eastAsia="宋体" w:cs="宋体"/>
                <w:color w:val="auto"/>
                <w:kern w:val="0"/>
                <w:sz w:val="20"/>
                <w:szCs w:val="20"/>
              </w:rPr>
            </w:pPr>
            <w:r>
              <w:rPr>
                <w:rFonts w:hint="eastAsia" w:ascii="宋体" w:hAnsi="宋体" w:eastAsia="宋体" w:cs="宋体"/>
                <w:color w:val="auto"/>
                <w:kern w:val="0"/>
                <w:sz w:val="20"/>
                <w:szCs w:val="20"/>
              </w:rPr>
              <w:t>可持续影响指标</w:t>
            </w:r>
          </w:p>
        </w:tc>
        <w:tc>
          <w:tcPr>
            <w:tcW w:w="3041" w:type="dxa"/>
            <w:tcBorders>
              <w:tl2br w:val="nil"/>
              <w:tr2bl w:val="nil"/>
            </w:tcBorders>
            <w:vAlign w:val="center"/>
          </w:tcPr>
          <w:p w14:paraId="217125E6">
            <w:pPr>
              <w:keepNext w:val="0"/>
              <w:keepLines w:val="0"/>
              <w:widowControl/>
              <w:suppressLineNumbers w:val="0"/>
              <w:jc w:val="left"/>
              <w:textAlignment w:val="center"/>
              <w:rPr>
                <w:rFonts w:ascii="宋体" w:hAnsi="宋体" w:eastAsia="宋体" w:cs="宋体"/>
                <w:color w:val="auto"/>
                <w:kern w:val="0"/>
                <w:sz w:val="20"/>
                <w:szCs w:val="20"/>
              </w:rPr>
            </w:pPr>
            <w:r>
              <w:rPr>
                <w:rFonts w:hint="eastAsia" w:ascii="宋体" w:hAnsi="宋体" w:eastAsia="宋体" w:cs="宋体"/>
                <w:i w:val="0"/>
                <w:iCs w:val="0"/>
                <w:color w:val="auto"/>
                <w:kern w:val="0"/>
                <w:sz w:val="20"/>
                <w:szCs w:val="20"/>
                <w:u w:val="none"/>
                <w:lang w:val="en-US" w:eastAsia="zh-CN" w:bidi="ar"/>
              </w:rPr>
              <w:t>指标1：切实减轻企业和个人负担，促进实体经济发展</w:t>
            </w:r>
          </w:p>
        </w:tc>
        <w:tc>
          <w:tcPr>
            <w:tcW w:w="3903" w:type="dxa"/>
            <w:gridSpan w:val="2"/>
            <w:tcBorders>
              <w:tl2br w:val="nil"/>
              <w:tr2bl w:val="nil"/>
            </w:tcBorders>
            <w:vAlign w:val="center"/>
          </w:tcPr>
          <w:p w14:paraId="30445E18">
            <w:pPr>
              <w:keepNext w:val="0"/>
              <w:keepLines w:val="0"/>
              <w:widowControl/>
              <w:suppressLineNumbers w:val="0"/>
              <w:jc w:val="center"/>
              <w:textAlignment w:val="center"/>
              <w:rPr>
                <w:rFonts w:ascii="宋体" w:cs="宋体"/>
                <w:color w:val="auto"/>
                <w:kern w:val="0"/>
                <w:sz w:val="20"/>
                <w:szCs w:val="20"/>
              </w:rPr>
            </w:pPr>
            <w:r>
              <w:rPr>
                <w:rFonts w:hint="eastAsia" w:ascii="宋体" w:hAnsi="宋体" w:eastAsia="宋体" w:cs="宋体"/>
                <w:i w:val="0"/>
                <w:iCs w:val="0"/>
                <w:color w:val="auto"/>
                <w:kern w:val="0"/>
                <w:sz w:val="20"/>
                <w:szCs w:val="20"/>
                <w:u w:val="none"/>
                <w:lang w:val="en-US" w:eastAsia="zh-CN" w:bidi="ar"/>
              </w:rPr>
              <w:t>不断提高</w:t>
            </w:r>
          </w:p>
        </w:tc>
      </w:tr>
      <w:tr w14:paraId="44E159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3" w:hRule="atLeast"/>
          <w:jc w:val="center"/>
        </w:trPr>
        <w:tc>
          <w:tcPr>
            <w:tcW w:w="438" w:type="dxa"/>
            <w:vMerge w:val="continue"/>
            <w:tcBorders>
              <w:tl2br w:val="nil"/>
              <w:tr2bl w:val="nil"/>
            </w:tcBorders>
            <w:vAlign w:val="center"/>
          </w:tcPr>
          <w:p w14:paraId="28E356D1">
            <w:pPr>
              <w:keepNext w:val="0"/>
              <w:keepLines w:val="0"/>
              <w:pageBreakBefore w:val="0"/>
              <w:kinsoku/>
              <w:wordWrap/>
              <w:overflowPunct/>
              <w:topLinePunct w:val="0"/>
              <w:autoSpaceDE/>
              <w:autoSpaceDN/>
              <w:bidi w:val="0"/>
              <w:adjustRightInd/>
              <w:snapToGrid/>
              <w:spacing w:line="240" w:lineRule="auto"/>
              <w:jc w:val="center"/>
              <w:rPr>
                <w:rFonts w:ascii="宋体" w:cs="宋体"/>
                <w:color w:val="auto"/>
                <w:kern w:val="0"/>
                <w:sz w:val="20"/>
                <w:szCs w:val="20"/>
              </w:rPr>
            </w:pPr>
          </w:p>
        </w:tc>
        <w:tc>
          <w:tcPr>
            <w:tcW w:w="723" w:type="dxa"/>
            <w:tcBorders>
              <w:tl2br w:val="nil"/>
              <w:tr2bl w:val="nil"/>
            </w:tcBorders>
            <w:vAlign w:val="center"/>
          </w:tcPr>
          <w:p w14:paraId="0FE05ECB">
            <w:pPr>
              <w:keepNext w:val="0"/>
              <w:keepLines w:val="0"/>
              <w:pageBreakBefore w:val="0"/>
              <w:widowControl/>
              <w:kinsoku/>
              <w:wordWrap/>
              <w:overflowPunct/>
              <w:topLinePunct w:val="0"/>
              <w:autoSpaceDE/>
              <w:autoSpaceDN/>
              <w:bidi w:val="0"/>
              <w:adjustRightInd/>
              <w:snapToGrid/>
              <w:spacing w:line="240" w:lineRule="auto"/>
              <w:jc w:val="center"/>
              <w:rPr>
                <w:rFonts w:ascii="宋体" w:hAnsi="宋体" w:eastAsia="宋体" w:cs="宋体"/>
                <w:color w:val="auto"/>
                <w:kern w:val="0"/>
                <w:sz w:val="20"/>
                <w:szCs w:val="20"/>
              </w:rPr>
            </w:pPr>
            <w:r>
              <w:rPr>
                <w:rFonts w:hint="eastAsia" w:ascii="宋体" w:hAnsi="宋体" w:eastAsia="宋体" w:cs="宋体"/>
                <w:color w:val="auto"/>
                <w:kern w:val="0"/>
                <w:sz w:val="20"/>
                <w:szCs w:val="20"/>
              </w:rPr>
              <w:t>满意度指标</w:t>
            </w:r>
          </w:p>
        </w:tc>
        <w:tc>
          <w:tcPr>
            <w:tcW w:w="915" w:type="dxa"/>
            <w:gridSpan w:val="2"/>
            <w:tcBorders>
              <w:tl2br w:val="nil"/>
              <w:tr2bl w:val="nil"/>
            </w:tcBorders>
            <w:vAlign w:val="center"/>
          </w:tcPr>
          <w:p w14:paraId="361D0D8A">
            <w:pPr>
              <w:keepNext w:val="0"/>
              <w:keepLines w:val="0"/>
              <w:pageBreakBefore w:val="0"/>
              <w:widowControl/>
              <w:kinsoku/>
              <w:wordWrap/>
              <w:overflowPunct/>
              <w:topLinePunct w:val="0"/>
              <w:autoSpaceDE/>
              <w:autoSpaceDN/>
              <w:bidi w:val="0"/>
              <w:adjustRightInd/>
              <w:snapToGrid/>
              <w:spacing w:line="240" w:lineRule="auto"/>
              <w:jc w:val="center"/>
              <w:rPr>
                <w:rFonts w:ascii="宋体" w:hAnsi="宋体" w:eastAsia="宋体" w:cs="宋体"/>
                <w:color w:val="auto"/>
                <w:kern w:val="0"/>
                <w:sz w:val="20"/>
                <w:szCs w:val="20"/>
              </w:rPr>
            </w:pPr>
            <w:r>
              <w:rPr>
                <w:rFonts w:hint="eastAsia" w:ascii="宋体" w:hAnsi="宋体" w:eastAsia="宋体" w:cs="宋体"/>
                <w:color w:val="auto"/>
                <w:kern w:val="0"/>
                <w:sz w:val="20"/>
                <w:szCs w:val="20"/>
              </w:rPr>
              <w:t>满意度指标</w:t>
            </w:r>
          </w:p>
        </w:tc>
        <w:tc>
          <w:tcPr>
            <w:tcW w:w="3041" w:type="dxa"/>
            <w:tcBorders>
              <w:tl2br w:val="nil"/>
              <w:tr2bl w:val="nil"/>
            </w:tcBorders>
            <w:vAlign w:val="center"/>
          </w:tcPr>
          <w:p w14:paraId="354A9326">
            <w:pPr>
              <w:keepNext w:val="0"/>
              <w:keepLines w:val="0"/>
              <w:widowControl/>
              <w:suppressLineNumbers w:val="0"/>
              <w:jc w:val="left"/>
              <w:textAlignment w:val="center"/>
              <w:rPr>
                <w:rFonts w:ascii="宋体" w:hAnsi="宋体" w:eastAsia="宋体" w:cs="宋体"/>
                <w:color w:val="auto"/>
                <w:kern w:val="0"/>
                <w:sz w:val="20"/>
                <w:szCs w:val="20"/>
              </w:rPr>
            </w:pPr>
            <w:r>
              <w:rPr>
                <w:rFonts w:hint="eastAsia" w:ascii="宋体" w:hAnsi="宋体" w:eastAsia="宋体" w:cs="宋体"/>
                <w:i w:val="0"/>
                <w:iCs w:val="0"/>
                <w:color w:val="auto"/>
                <w:kern w:val="0"/>
                <w:sz w:val="20"/>
                <w:szCs w:val="20"/>
                <w:u w:val="none"/>
                <w:lang w:val="en-US" w:eastAsia="zh-CN" w:bidi="ar"/>
              </w:rPr>
              <w:t>指标1：服务对象满意度</w:t>
            </w:r>
          </w:p>
        </w:tc>
        <w:tc>
          <w:tcPr>
            <w:tcW w:w="3903" w:type="dxa"/>
            <w:gridSpan w:val="2"/>
            <w:tcBorders>
              <w:tl2br w:val="nil"/>
              <w:tr2bl w:val="nil"/>
            </w:tcBorders>
            <w:vAlign w:val="center"/>
          </w:tcPr>
          <w:p w14:paraId="0BC50956">
            <w:pPr>
              <w:keepNext w:val="0"/>
              <w:keepLines w:val="0"/>
              <w:widowControl/>
              <w:suppressLineNumbers w:val="0"/>
              <w:jc w:val="center"/>
              <w:textAlignment w:val="center"/>
              <w:rPr>
                <w:rFonts w:ascii="宋体" w:cs="宋体"/>
                <w:color w:val="auto"/>
                <w:kern w:val="0"/>
                <w:sz w:val="20"/>
                <w:szCs w:val="20"/>
              </w:rPr>
            </w:pPr>
            <w:r>
              <w:rPr>
                <w:rFonts w:hint="eastAsia" w:ascii="宋体" w:hAnsi="宋体" w:eastAsia="宋体" w:cs="宋体"/>
                <w:i w:val="0"/>
                <w:iCs w:val="0"/>
                <w:color w:val="auto"/>
                <w:kern w:val="0"/>
                <w:sz w:val="20"/>
                <w:szCs w:val="20"/>
                <w:u w:val="none"/>
                <w:lang w:val="en-US" w:eastAsia="zh-CN" w:bidi="ar"/>
              </w:rPr>
              <w:t>满意</w:t>
            </w:r>
          </w:p>
        </w:tc>
      </w:tr>
    </w:tbl>
    <w:p w14:paraId="30F59D63">
      <w:pPr>
        <w:rPr>
          <w:color w:val="auto"/>
        </w:rPr>
      </w:pPr>
    </w:p>
    <w:p w14:paraId="5F151277">
      <w:pPr>
        <w:ind w:firstLine="640" w:firstLineChars="200"/>
        <w:rPr>
          <w:rFonts w:hint="eastAsia" w:ascii="仿宋" w:hAnsi="仿宋" w:eastAsia="仿宋" w:cs="仿宋"/>
          <w:color w:val="auto"/>
          <w:kern w:val="0"/>
          <w:sz w:val="32"/>
          <w:szCs w:val="32"/>
          <w:highlight w:val="none"/>
        </w:rPr>
      </w:pPr>
      <w:r>
        <w:rPr>
          <w:rFonts w:hint="eastAsia" w:ascii="仿宋" w:hAnsi="仿宋" w:eastAsia="仿宋" w:cs="仿宋"/>
          <w:color w:val="auto"/>
          <w:kern w:val="0"/>
          <w:sz w:val="32"/>
          <w:szCs w:val="32"/>
          <w:highlight w:val="none"/>
          <w:lang w:val="en-US" w:eastAsia="zh-CN"/>
        </w:rPr>
        <w:t>3</w:t>
      </w:r>
      <w:r>
        <w:rPr>
          <w:rFonts w:hint="eastAsia" w:ascii="仿宋" w:hAnsi="仿宋" w:eastAsia="仿宋" w:cs="仿宋"/>
          <w:color w:val="auto"/>
          <w:kern w:val="0"/>
          <w:sz w:val="32"/>
          <w:szCs w:val="32"/>
          <w:highlight w:val="none"/>
        </w:rPr>
        <w:t>、“日元贷款项目”项目。</w:t>
      </w:r>
    </w:p>
    <w:p w14:paraId="4AF2467A">
      <w:pPr>
        <w:ind w:firstLine="640" w:firstLineChars="200"/>
        <w:rPr>
          <w:rFonts w:hint="eastAsia" w:ascii="仿宋" w:hAnsi="仿宋" w:eastAsia="仿宋" w:cs="仿宋"/>
          <w:color w:val="auto"/>
          <w:kern w:val="0"/>
          <w:sz w:val="32"/>
          <w:szCs w:val="32"/>
          <w:highlight w:val="none"/>
        </w:rPr>
      </w:pPr>
      <w:r>
        <w:rPr>
          <w:rFonts w:hint="eastAsia" w:ascii="仿宋" w:hAnsi="仿宋" w:eastAsia="仿宋" w:cs="仿宋"/>
          <w:color w:val="auto"/>
          <w:kern w:val="0"/>
          <w:sz w:val="32"/>
          <w:szCs w:val="32"/>
          <w:highlight w:val="none"/>
        </w:rPr>
        <w:t>（1）项目概述。为加强我市公共卫生基础设施建设，提高我市突发公共卫生事件控制和救治能力，经市政府领导研究批准，并向省计委、省卫生厅申请利用日元贷款购置医疗及监测设备的请求。利用日元贷款实施公共卫生项目是自非典之后，我国加强疾病预防控制监测、预警、救治能力建设的一项重要举措。其建设目标为：建立完善的疾病预防控制体系和医疗救治体系，提高我市应对重大疾病和突发性公共卫生事件的防御能力及救治</w:t>
      </w:r>
      <w:r>
        <w:rPr>
          <w:rFonts w:hint="eastAsia" w:ascii="仿宋" w:hAnsi="仿宋" w:eastAsia="仿宋" w:cs="仿宋"/>
          <w:color w:val="auto"/>
          <w:kern w:val="0"/>
          <w:sz w:val="32"/>
          <w:szCs w:val="32"/>
          <w:highlight w:val="none"/>
          <w:lang w:val="en-US" w:eastAsia="zh-CN"/>
        </w:rPr>
        <w:t>能</w:t>
      </w:r>
      <w:r>
        <w:rPr>
          <w:rFonts w:hint="eastAsia" w:ascii="仿宋" w:hAnsi="仿宋" w:eastAsia="仿宋" w:cs="仿宋"/>
          <w:color w:val="auto"/>
          <w:kern w:val="0"/>
          <w:sz w:val="32"/>
          <w:szCs w:val="32"/>
          <w:highlight w:val="none"/>
        </w:rPr>
        <w:t>力；完善卫生服务设施，重点加强疾病预防控制监测和信息网络建设。</w:t>
      </w:r>
    </w:p>
    <w:p w14:paraId="76150350">
      <w:pPr>
        <w:ind w:firstLine="640" w:firstLineChars="200"/>
        <w:rPr>
          <w:rFonts w:hint="eastAsia" w:ascii="仿宋" w:hAnsi="仿宋" w:eastAsia="仿宋" w:cs="仿宋"/>
          <w:color w:val="auto"/>
          <w:kern w:val="0"/>
          <w:sz w:val="32"/>
          <w:szCs w:val="32"/>
          <w:highlight w:val="none"/>
          <w:lang w:eastAsia="zh-CN"/>
        </w:rPr>
      </w:pPr>
      <w:r>
        <w:rPr>
          <w:rFonts w:hint="eastAsia" w:ascii="仿宋" w:hAnsi="仿宋" w:eastAsia="仿宋" w:cs="仿宋"/>
          <w:color w:val="auto"/>
          <w:kern w:val="0"/>
          <w:sz w:val="32"/>
          <w:szCs w:val="32"/>
          <w:highlight w:val="none"/>
        </w:rPr>
        <w:t>（2）立项依据。根据《外国政府贷款再转贷协议》（再转贷协议号：ZZD003—03）。</w:t>
      </w:r>
    </w:p>
    <w:p w14:paraId="521D4AD0">
      <w:pPr>
        <w:ind w:firstLine="640" w:firstLineChars="200"/>
        <w:rPr>
          <w:rFonts w:hint="eastAsia" w:ascii="仿宋" w:hAnsi="仿宋" w:eastAsia="仿宋" w:cs="仿宋"/>
          <w:color w:val="auto"/>
          <w:kern w:val="0"/>
          <w:sz w:val="32"/>
          <w:szCs w:val="32"/>
          <w:highlight w:val="none"/>
          <w:lang w:eastAsia="zh-CN"/>
        </w:rPr>
      </w:pPr>
      <w:r>
        <w:rPr>
          <w:rFonts w:hint="eastAsia" w:ascii="仿宋" w:hAnsi="仿宋" w:eastAsia="仿宋" w:cs="仿宋"/>
          <w:color w:val="auto"/>
          <w:kern w:val="0"/>
          <w:sz w:val="32"/>
          <w:szCs w:val="32"/>
          <w:highlight w:val="none"/>
        </w:rPr>
        <w:t>（3）实施主体。淮北市疾病预防控制中心</w:t>
      </w:r>
      <w:r>
        <w:rPr>
          <w:rFonts w:hint="eastAsia" w:ascii="仿宋" w:hAnsi="仿宋" w:eastAsia="仿宋" w:cs="仿宋"/>
          <w:color w:val="auto"/>
          <w:kern w:val="0"/>
          <w:sz w:val="32"/>
          <w:szCs w:val="32"/>
          <w:highlight w:val="none"/>
          <w:lang w:eastAsia="zh-CN"/>
        </w:rPr>
        <w:t>。</w:t>
      </w:r>
    </w:p>
    <w:p w14:paraId="6720010D">
      <w:pPr>
        <w:ind w:firstLine="640" w:firstLineChars="200"/>
        <w:rPr>
          <w:rFonts w:hint="eastAsia" w:ascii="仿宋" w:hAnsi="仿宋" w:eastAsia="仿宋" w:cs="仿宋"/>
          <w:color w:val="auto"/>
          <w:kern w:val="0"/>
          <w:sz w:val="32"/>
          <w:szCs w:val="32"/>
          <w:highlight w:val="none"/>
          <w:lang w:eastAsia="zh-CN"/>
        </w:rPr>
      </w:pPr>
      <w:r>
        <w:rPr>
          <w:rFonts w:hint="eastAsia" w:ascii="仿宋" w:hAnsi="仿宋" w:eastAsia="仿宋" w:cs="仿宋"/>
          <w:color w:val="auto"/>
          <w:kern w:val="0"/>
          <w:sz w:val="32"/>
          <w:szCs w:val="32"/>
          <w:highlight w:val="none"/>
        </w:rPr>
        <w:t>（4）起止时间。202</w:t>
      </w:r>
      <w:r>
        <w:rPr>
          <w:rFonts w:hint="eastAsia" w:ascii="仿宋" w:hAnsi="仿宋" w:eastAsia="仿宋" w:cs="仿宋"/>
          <w:color w:val="auto"/>
          <w:kern w:val="0"/>
          <w:sz w:val="32"/>
          <w:szCs w:val="32"/>
          <w:highlight w:val="none"/>
          <w:lang w:val="en-US" w:eastAsia="zh-CN"/>
        </w:rPr>
        <w:t>5</w:t>
      </w:r>
      <w:r>
        <w:rPr>
          <w:rFonts w:hint="eastAsia" w:ascii="仿宋" w:hAnsi="仿宋" w:eastAsia="仿宋" w:cs="仿宋"/>
          <w:color w:val="auto"/>
          <w:kern w:val="0"/>
          <w:sz w:val="32"/>
          <w:szCs w:val="32"/>
          <w:highlight w:val="none"/>
        </w:rPr>
        <w:t>年1-12月</w:t>
      </w:r>
      <w:r>
        <w:rPr>
          <w:rFonts w:hint="eastAsia" w:ascii="仿宋" w:hAnsi="仿宋" w:eastAsia="仿宋" w:cs="仿宋"/>
          <w:color w:val="auto"/>
          <w:kern w:val="0"/>
          <w:sz w:val="32"/>
          <w:szCs w:val="32"/>
          <w:highlight w:val="none"/>
          <w:lang w:eastAsia="zh-CN"/>
        </w:rPr>
        <w:t>。</w:t>
      </w:r>
    </w:p>
    <w:p w14:paraId="1264F110">
      <w:pPr>
        <w:ind w:firstLine="640" w:firstLineChars="200"/>
        <w:rPr>
          <w:rFonts w:hint="eastAsia" w:ascii="仿宋_GB2312" w:eastAsia="仿宋_GB2312"/>
          <w:color w:val="auto"/>
          <w:sz w:val="32"/>
          <w:szCs w:val="32"/>
          <w:highlight w:val="none"/>
        </w:rPr>
      </w:pPr>
      <w:r>
        <w:rPr>
          <w:rFonts w:hint="eastAsia" w:ascii="仿宋" w:hAnsi="仿宋" w:eastAsia="仿宋" w:cs="仿宋"/>
          <w:color w:val="auto"/>
          <w:kern w:val="0"/>
          <w:sz w:val="32"/>
          <w:szCs w:val="32"/>
          <w:highlight w:val="none"/>
        </w:rPr>
        <w:t>（5）项目内容。</w:t>
      </w:r>
      <w:r>
        <w:rPr>
          <w:rFonts w:hint="eastAsia" w:ascii="仿宋_GB2312" w:eastAsia="仿宋_GB2312"/>
          <w:color w:val="auto"/>
          <w:sz w:val="32"/>
          <w:szCs w:val="32"/>
          <w:highlight w:val="none"/>
        </w:rPr>
        <w:t>2003年8月省发展计划委员</w:t>
      </w:r>
      <w:r>
        <w:rPr>
          <w:rFonts w:hint="eastAsia" w:ascii="仿宋_GB2312" w:eastAsia="仿宋_GB2312"/>
          <w:color w:val="auto"/>
          <w:sz w:val="32"/>
          <w:szCs w:val="32"/>
          <w:highlight w:val="none"/>
          <w:lang w:val="en-US" w:eastAsia="zh-CN"/>
        </w:rPr>
        <w:t>会</w:t>
      </w:r>
      <w:r>
        <w:rPr>
          <w:rFonts w:hint="eastAsia" w:ascii="仿宋_GB2312" w:eastAsia="仿宋_GB2312"/>
          <w:color w:val="auto"/>
          <w:sz w:val="32"/>
          <w:szCs w:val="32"/>
          <w:highlight w:val="none"/>
        </w:rPr>
        <w:t>和省卫生厅联合下发了计外资</w:t>
      </w:r>
      <w:r>
        <w:rPr>
          <w:rFonts w:hint="eastAsia" w:ascii="仿宋_GB2312" w:eastAsia="仿宋_GB2312"/>
          <w:color w:val="auto"/>
          <w:sz w:val="32"/>
          <w:szCs w:val="32"/>
          <w:highlight w:val="none"/>
          <w:lang w:eastAsia="zh-CN"/>
        </w:rPr>
        <w:t>〔</w:t>
      </w:r>
      <w:r>
        <w:rPr>
          <w:rFonts w:hint="eastAsia" w:ascii="仿宋_GB2312" w:eastAsia="仿宋_GB2312"/>
          <w:color w:val="auto"/>
          <w:sz w:val="32"/>
          <w:szCs w:val="32"/>
          <w:highlight w:val="none"/>
        </w:rPr>
        <w:t>2003</w:t>
      </w:r>
      <w:r>
        <w:rPr>
          <w:rFonts w:hint="eastAsia" w:ascii="仿宋" w:hAnsi="仿宋" w:eastAsia="仿宋" w:cs="仿宋"/>
          <w:color w:val="auto"/>
          <w:kern w:val="0"/>
          <w:sz w:val="32"/>
          <w:szCs w:val="32"/>
          <w:highlight w:val="none"/>
        </w:rPr>
        <w:t>〕</w:t>
      </w:r>
      <w:r>
        <w:rPr>
          <w:rFonts w:hint="eastAsia" w:ascii="仿宋_GB2312" w:eastAsia="仿宋_GB2312"/>
          <w:color w:val="auto"/>
          <w:sz w:val="32"/>
          <w:szCs w:val="32"/>
          <w:highlight w:val="none"/>
        </w:rPr>
        <w:t>844号文件，初步批准了项目申请利用日元贷款实施公共卫生项目。其建设目标为：建立完善的疾病预防控制体系和医疗救治体系，提高我市应对重大疾病和突发性公共卫生事件的防御能力及救治</w:t>
      </w:r>
      <w:r>
        <w:rPr>
          <w:rFonts w:hint="eastAsia" w:ascii="仿宋_GB2312" w:eastAsia="仿宋_GB2312"/>
          <w:color w:val="auto"/>
          <w:sz w:val="32"/>
          <w:szCs w:val="32"/>
          <w:highlight w:val="none"/>
          <w:lang w:val="en-US" w:eastAsia="zh-CN"/>
        </w:rPr>
        <w:t>能</w:t>
      </w:r>
      <w:r>
        <w:rPr>
          <w:rFonts w:hint="eastAsia" w:ascii="仿宋_GB2312" w:eastAsia="仿宋_GB2312"/>
          <w:color w:val="auto"/>
          <w:sz w:val="32"/>
          <w:szCs w:val="32"/>
          <w:highlight w:val="none"/>
        </w:rPr>
        <w:t>力；完善卫生服务设施，重点加强疾病预防控制监测和信息网络建设。</w:t>
      </w:r>
    </w:p>
    <w:p w14:paraId="1E790152">
      <w:pPr>
        <w:ind w:firstLine="640" w:firstLineChars="200"/>
        <w:rPr>
          <w:rFonts w:hint="eastAsia" w:ascii="仿宋" w:hAnsi="仿宋" w:eastAsia="仿宋" w:cs="仿宋"/>
          <w:color w:val="auto"/>
          <w:kern w:val="0"/>
          <w:sz w:val="32"/>
          <w:szCs w:val="32"/>
          <w:highlight w:val="none"/>
        </w:rPr>
      </w:pPr>
      <w:r>
        <w:rPr>
          <w:rFonts w:hint="eastAsia" w:ascii="仿宋_GB2312" w:eastAsia="仿宋_GB2312"/>
          <w:color w:val="auto"/>
          <w:sz w:val="32"/>
          <w:szCs w:val="32"/>
          <w:highlight w:val="none"/>
        </w:rPr>
        <w:t>根据《外国政府贷款再转贷协议》（再转贷协议号：ZZD003—03）。贷款Ⅰ18811万日元，每次偿还458万元日元，还款期限2014年8月31日-2034年2月28日，一年两次、分40次偿清；贷款Ⅱ602万日元，每次偿还9.8万元日元，还款期限2014年8月31日-2044年2月28日，一年两次、分60次偿清</w:t>
      </w:r>
      <w:r>
        <w:rPr>
          <w:rFonts w:hint="eastAsia" w:ascii="仿宋" w:hAnsi="仿宋" w:eastAsia="仿宋" w:cs="仿宋"/>
          <w:color w:val="auto"/>
          <w:sz w:val="32"/>
          <w:szCs w:val="32"/>
          <w:highlight w:val="none"/>
        </w:rPr>
        <w:t>。</w:t>
      </w:r>
    </w:p>
    <w:p w14:paraId="3477683E">
      <w:pPr>
        <w:ind w:firstLine="640" w:firstLineChars="200"/>
        <w:rPr>
          <w:rFonts w:hint="eastAsia" w:ascii="仿宋" w:hAnsi="仿宋" w:eastAsia="仿宋" w:cs="仿宋"/>
          <w:color w:val="auto"/>
          <w:kern w:val="0"/>
          <w:sz w:val="32"/>
          <w:szCs w:val="32"/>
          <w:highlight w:val="none"/>
          <w:lang w:val="en-US" w:eastAsia="zh-CN"/>
        </w:rPr>
      </w:pPr>
      <w:r>
        <w:rPr>
          <w:rFonts w:hint="eastAsia" w:ascii="仿宋" w:hAnsi="仿宋" w:eastAsia="仿宋" w:cs="仿宋"/>
          <w:color w:val="auto"/>
          <w:kern w:val="0"/>
          <w:sz w:val="32"/>
          <w:szCs w:val="32"/>
          <w:highlight w:val="none"/>
        </w:rPr>
        <w:t>（6）年度预算安排。</w:t>
      </w:r>
      <w:r>
        <w:rPr>
          <w:rFonts w:hint="eastAsia" w:ascii="仿宋" w:hAnsi="仿宋" w:eastAsia="仿宋" w:cs="仿宋"/>
          <w:color w:val="auto"/>
          <w:kern w:val="0"/>
          <w:sz w:val="32"/>
          <w:szCs w:val="32"/>
          <w:highlight w:val="none"/>
          <w:lang w:val="en-US" w:eastAsia="zh-CN"/>
        </w:rPr>
        <w:t>25</w:t>
      </w:r>
      <w:r>
        <w:rPr>
          <w:rFonts w:hint="eastAsia" w:ascii="仿宋" w:hAnsi="仿宋" w:eastAsia="仿宋" w:cs="仿宋"/>
          <w:color w:val="auto"/>
          <w:kern w:val="0"/>
          <w:sz w:val="32"/>
          <w:szCs w:val="32"/>
          <w:highlight w:val="none"/>
        </w:rPr>
        <w:t>万元。</w:t>
      </w:r>
    </w:p>
    <w:p w14:paraId="505B4AC1">
      <w:pPr>
        <w:ind w:firstLine="640" w:firstLineChars="200"/>
        <w:rPr>
          <w:rFonts w:hint="eastAsia" w:ascii="仿宋" w:hAnsi="仿宋" w:eastAsia="仿宋" w:cs="仿宋"/>
          <w:color w:val="auto"/>
          <w:kern w:val="0"/>
          <w:sz w:val="32"/>
          <w:szCs w:val="32"/>
          <w:highlight w:val="none"/>
        </w:rPr>
      </w:pPr>
      <w:r>
        <w:rPr>
          <w:rFonts w:hint="eastAsia" w:ascii="仿宋" w:hAnsi="仿宋" w:eastAsia="仿宋" w:cs="仿宋"/>
          <w:color w:val="auto"/>
          <w:kern w:val="0"/>
          <w:sz w:val="32"/>
          <w:szCs w:val="32"/>
          <w:highlight w:val="none"/>
        </w:rPr>
        <w:t>（7）绩效目标。建立完善的疾病预防控制体系和医疗救治体系，提高我市应对重大疾病和突发性公共卫生事件的防御能力及救治</w:t>
      </w:r>
      <w:r>
        <w:rPr>
          <w:rFonts w:hint="eastAsia" w:ascii="仿宋" w:hAnsi="仿宋" w:eastAsia="仿宋" w:cs="仿宋"/>
          <w:color w:val="auto"/>
          <w:kern w:val="0"/>
          <w:sz w:val="32"/>
          <w:szCs w:val="32"/>
          <w:highlight w:val="none"/>
          <w:lang w:val="en-US" w:eastAsia="zh-CN"/>
        </w:rPr>
        <w:t>能力</w:t>
      </w:r>
      <w:r>
        <w:rPr>
          <w:rFonts w:hint="eastAsia" w:ascii="仿宋" w:hAnsi="仿宋" w:eastAsia="仿宋" w:cs="仿宋"/>
          <w:color w:val="auto"/>
          <w:kern w:val="0"/>
          <w:sz w:val="32"/>
          <w:szCs w:val="32"/>
          <w:highlight w:val="none"/>
        </w:rPr>
        <w:t>；完善卫生服务设施，重点加强疾病预防控制监测和信息网络建设。</w:t>
      </w:r>
    </w:p>
    <w:tbl>
      <w:tblPr>
        <w:tblStyle w:val="5"/>
        <w:tblW w:w="90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38"/>
        <w:gridCol w:w="723"/>
        <w:gridCol w:w="282"/>
        <w:gridCol w:w="477"/>
        <w:gridCol w:w="2872"/>
        <w:gridCol w:w="1848"/>
        <w:gridCol w:w="2380"/>
      </w:tblGrid>
      <w:tr w14:paraId="06E766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3" w:hRule="atLeast"/>
          <w:jc w:val="center"/>
        </w:trPr>
        <w:tc>
          <w:tcPr>
            <w:tcW w:w="9020" w:type="dxa"/>
            <w:gridSpan w:val="7"/>
            <w:tcBorders>
              <w:top w:val="nil"/>
              <w:left w:val="nil"/>
              <w:bottom w:val="nil"/>
              <w:right w:val="nil"/>
            </w:tcBorders>
            <w:vAlign w:val="center"/>
          </w:tcPr>
          <w:p w14:paraId="37F0010E">
            <w:pPr>
              <w:widowControl/>
              <w:jc w:val="center"/>
              <w:textAlignment w:val="center"/>
              <w:rPr>
                <w:rFonts w:ascii="宋体" w:cs="宋体"/>
                <w:b/>
                <w:bCs/>
                <w:color w:val="auto"/>
                <w:szCs w:val="32"/>
                <w:highlight w:val="none"/>
              </w:rPr>
            </w:pPr>
            <w:r>
              <w:rPr>
                <w:rFonts w:hint="eastAsia" w:ascii="宋体" w:hAnsi="宋体" w:eastAsia="宋体" w:cs="宋体"/>
                <w:b/>
                <w:color w:val="auto"/>
                <w:kern w:val="0"/>
                <w:sz w:val="28"/>
                <w:szCs w:val="28"/>
                <w:highlight w:val="none"/>
              </w:rPr>
              <w:t>项目支出绩效目标表</w:t>
            </w:r>
          </w:p>
        </w:tc>
      </w:tr>
      <w:tr w14:paraId="1A02DE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9020" w:type="dxa"/>
            <w:gridSpan w:val="7"/>
            <w:tcBorders>
              <w:top w:val="nil"/>
              <w:left w:val="nil"/>
              <w:right w:val="nil"/>
            </w:tcBorders>
            <w:vAlign w:val="center"/>
          </w:tcPr>
          <w:p w14:paraId="38323B39">
            <w:pPr>
              <w:widowControl/>
              <w:jc w:val="center"/>
              <w:textAlignment w:val="center"/>
              <w:rPr>
                <w:rFonts w:ascii="宋体" w:cs="宋体"/>
                <w:color w:val="auto"/>
                <w:sz w:val="20"/>
                <w:highlight w:val="none"/>
              </w:rPr>
            </w:pPr>
            <w:r>
              <w:rPr>
                <w:rFonts w:hint="eastAsia" w:ascii="宋体" w:hAnsi="宋体" w:eastAsia="宋体" w:cs="宋体"/>
                <w:color w:val="auto"/>
                <w:kern w:val="0"/>
                <w:sz w:val="20"/>
                <w:szCs w:val="20"/>
                <w:highlight w:val="none"/>
              </w:rPr>
              <w:t xml:space="preserve"> （2025年度）                                </w:t>
            </w:r>
          </w:p>
        </w:tc>
      </w:tr>
      <w:tr w14:paraId="2DC19E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jc w:val="center"/>
        </w:trPr>
        <w:tc>
          <w:tcPr>
            <w:tcW w:w="1443" w:type="dxa"/>
            <w:gridSpan w:val="3"/>
            <w:tcBorders>
              <w:tl2br w:val="nil"/>
              <w:tr2bl w:val="nil"/>
            </w:tcBorders>
            <w:vAlign w:val="center"/>
          </w:tcPr>
          <w:p w14:paraId="505D4F89">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ascii="宋体" w:cs="宋体"/>
                <w:color w:val="auto"/>
                <w:kern w:val="0"/>
                <w:sz w:val="20"/>
                <w:szCs w:val="20"/>
                <w:highlight w:val="none"/>
              </w:rPr>
            </w:pPr>
            <w:r>
              <w:rPr>
                <w:rFonts w:hint="eastAsia" w:ascii="宋体" w:hAnsi="宋体" w:eastAsia="宋体" w:cs="宋体"/>
                <w:color w:val="auto"/>
                <w:kern w:val="0"/>
                <w:sz w:val="20"/>
                <w:szCs w:val="20"/>
                <w:highlight w:val="none"/>
              </w:rPr>
              <w:t>项目名称</w:t>
            </w:r>
          </w:p>
        </w:tc>
        <w:tc>
          <w:tcPr>
            <w:tcW w:w="7577" w:type="dxa"/>
            <w:gridSpan w:val="4"/>
            <w:tcBorders>
              <w:tl2br w:val="nil"/>
              <w:tr2bl w:val="nil"/>
            </w:tcBorders>
            <w:vAlign w:val="center"/>
          </w:tcPr>
          <w:p w14:paraId="4066FCF5">
            <w:pPr>
              <w:keepNext w:val="0"/>
              <w:keepLines w:val="0"/>
              <w:pageBreakBefore w:val="0"/>
              <w:kinsoku/>
              <w:wordWrap/>
              <w:overflowPunct/>
              <w:topLinePunct w:val="0"/>
              <w:autoSpaceDE/>
              <w:autoSpaceDN/>
              <w:bidi w:val="0"/>
              <w:adjustRightInd/>
              <w:snapToGrid/>
              <w:spacing w:line="240" w:lineRule="auto"/>
              <w:jc w:val="center"/>
              <w:rPr>
                <w:rFonts w:ascii="宋体" w:cs="宋体"/>
                <w:color w:val="auto"/>
                <w:kern w:val="0"/>
                <w:sz w:val="20"/>
                <w:szCs w:val="20"/>
                <w:highlight w:val="none"/>
              </w:rPr>
            </w:pPr>
            <w:r>
              <w:rPr>
                <w:rFonts w:hint="eastAsia" w:ascii="宋体" w:cs="宋体"/>
                <w:color w:val="auto"/>
                <w:kern w:val="0"/>
                <w:sz w:val="20"/>
                <w:szCs w:val="20"/>
                <w:highlight w:val="none"/>
              </w:rPr>
              <w:t>日元贷款项目</w:t>
            </w:r>
          </w:p>
        </w:tc>
      </w:tr>
      <w:tr w14:paraId="371536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1" w:hRule="atLeast"/>
          <w:jc w:val="center"/>
        </w:trPr>
        <w:tc>
          <w:tcPr>
            <w:tcW w:w="1443" w:type="dxa"/>
            <w:gridSpan w:val="3"/>
            <w:tcBorders>
              <w:tl2br w:val="nil"/>
              <w:tr2bl w:val="nil"/>
            </w:tcBorders>
            <w:vAlign w:val="center"/>
          </w:tcPr>
          <w:p w14:paraId="23EDDDA8">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ascii="宋体" w:cs="宋体"/>
                <w:color w:val="auto"/>
                <w:kern w:val="0"/>
                <w:sz w:val="20"/>
                <w:szCs w:val="20"/>
                <w:highlight w:val="none"/>
              </w:rPr>
            </w:pPr>
            <w:r>
              <w:rPr>
                <w:rFonts w:hint="eastAsia" w:ascii="宋体" w:hAnsi="宋体" w:eastAsia="宋体" w:cs="宋体"/>
                <w:color w:val="auto"/>
                <w:kern w:val="0"/>
                <w:sz w:val="20"/>
                <w:szCs w:val="20"/>
                <w:highlight w:val="none"/>
              </w:rPr>
              <w:t>主管部门   及代码</w:t>
            </w:r>
          </w:p>
        </w:tc>
        <w:tc>
          <w:tcPr>
            <w:tcW w:w="3349" w:type="dxa"/>
            <w:gridSpan w:val="2"/>
            <w:tcBorders>
              <w:tl2br w:val="nil"/>
              <w:tr2bl w:val="nil"/>
            </w:tcBorders>
            <w:vAlign w:val="center"/>
          </w:tcPr>
          <w:p w14:paraId="41395C9B">
            <w:pPr>
              <w:keepNext w:val="0"/>
              <w:keepLines w:val="0"/>
              <w:pageBreakBefore w:val="0"/>
              <w:kinsoku/>
              <w:wordWrap/>
              <w:overflowPunct/>
              <w:topLinePunct w:val="0"/>
              <w:autoSpaceDE/>
              <w:autoSpaceDN/>
              <w:bidi w:val="0"/>
              <w:adjustRightInd/>
              <w:snapToGrid/>
              <w:spacing w:line="240" w:lineRule="auto"/>
              <w:jc w:val="center"/>
              <w:rPr>
                <w:rFonts w:ascii="宋体" w:cs="宋体"/>
                <w:color w:val="auto"/>
                <w:kern w:val="0"/>
                <w:sz w:val="20"/>
                <w:szCs w:val="20"/>
                <w:highlight w:val="none"/>
              </w:rPr>
            </w:pPr>
            <w:r>
              <w:rPr>
                <w:rFonts w:hint="eastAsia" w:ascii="宋体" w:hAnsi="宋体" w:eastAsia="宋体" w:cs="宋体"/>
                <w:color w:val="auto"/>
                <w:kern w:val="0"/>
                <w:sz w:val="20"/>
                <w:szCs w:val="20"/>
                <w:highlight w:val="none"/>
              </w:rPr>
              <w:t>[076]淮北市卫生健康委员会</w:t>
            </w:r>
          </w:p>
        </w:tc>
        <w:tc>
          <w:tcPr>
            <w:tcW w:w="1848" w:type="dxa"/>
            <w:tcBorders>
              <w:tl2br w:val="nil"/>
              <w:tr2bl w:val="nil"/>
            </w:tcBorders>
            <w:vAlign w:val="center"/>
          </w:tcPr>
          <w:p w14:paraId="1093B16A">
            <w:pPr>
              <w:keepNext w:val="0"/>
              <w:keepLines w:val="0"/>
              <w:pageBreakBefore w:val="0"/>
              <w:widowControl/>
              <w:kinsoku/>
              <w:wordWrap/>
              <w:overflowPunct/>
              <w:topLinePunct w:val="0"/>
              <w:autoSpaceDE/>
              <w:autoSpaceDN/>
              <w:bidi w:val="0"/>
              <w:adjustRightInd/>
              <w:snapToGrid/>
              <w:spacing w:line="240" w:lineRule="auto"/>
              <w:jc w:val="center"/>
              <w:textAlignment w:val="center"/>
              <w:rPr>
                <w:color w:val="auto"/>
                <w:kern w:val="0"/>
                <w:sz w:val="20"/>
                <w:szCs w:val="20"/>
                <w:highlight w:val="none"/>
              </w:rPr>
            </w:pPr>
            <w:r>
              <w:rPr>
                <w:rFonts w:hint="eastAsia" w:ascii="宋体" w:hAnsi="宋体" w:eastAsia="宋体" w:cs="宋体"/>
                <w:color w:val="auto"/>
                <w:kern w:val="0"/>
                <w:sz w:val="20"/>
                <w:szCs w:val="20"/>
                <w:highlight w:val="none"/>
              </w:rPr>
              <w:t>实施单位</w:t>
            </w:r>
          </w:p>
        </w:tc>
        <w:tc>
          <w:tcPr>
            <w:tcW w:w="2380" w:type="dxa"/>
            <w:tcBorders>
              <w:tl2br w:val="nil"/>
              <w:tr2bl w:val="nil"/>
            </w:tcBorders>
            <w:shd w:val="clear" w:color="auto" w:fill="auto"/>
            <w:vAlign w:val="center"/>
          </w:tcPr>
          <w:p w14:paraId="325FE52B">
            <w:pPr>
              <w:keepNext w:val="0"/>
              <w:keepLines w:val="0"/>
              <w:pageBreakBefore w:val="0"/>
              <w:widowControl/>
              <w:kinsoku/>
              <w:wordWrap/>
              <w:overflowPunct/>
              <w:topLinePunct w:val="0"/>
              <w:autoSpaceDE/>
              <w:autoSpaceDN/>
              <w:bidi w:val="0"/>
              <w:adjustRightInd/>
              <w:snapToGrid/>
              <w:spacing w:line="240" w:lineRule="auto"/>
              <w:jc w:val="center"/>
              <w:rPr>
                <w:rFonts w:ascii="宋体" w:hAnsi="宋体" w:eastAsia="宋体" w:cs="宋体"/>
                <w:color w:val="auto"/>
                <w:kern w:val="0"/>
                <w:sz w:val="20"/>
                <w:szCs w:val="20"/>
                <w:highlight w:val="none"/>
                <w:lang w:val="en-US" w:eastAsia="zh-CN" w:bidi="ar-SA"/>
              </w:rPr>
            </w:pPr>
            <w:r>
              <w:rPr>
                <w:rFonts w:hint="eastAsia" w:ascii="宋体" w:hAnsi="宋体" w:eastAsia="宋体" w:cs="宋体"/>
                <w:color w:val="auto"/>
                <w:kern w:val="0"/>
                <w:sz w:val="20"/>
                <w:szCs w:val="20"/>
                <w:highlight w:val="none"/>
              </w:rPr>
              <w:t>淮北市疾病预防控制中心</w:t>
            </w:r>
          </w:p>
        </w:tc>
      </w:tr>
      <w:tr w14:paraId="6E8DE6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jc w:val="center"/>
        </w:trPr>
        <w:tc>
          <w:tcPr>
            <w:tcW w:w="1443" w:type="dxa"/>
            <w:gridSpan w:val="3"/>
            <w:tcBorders>
              <w:tl2br w:val="nil"/>
              <w:tr2bl w:val="nil"/>
            </w:tcBorders>
            <w:vAlign w:val="center"/>
          </w:tcPr>
          <w:p w14:paraId="5EA852F6">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ascii="宋体" w:cs="宋体"/>
                <w:color w:val="auto"/>
                <w:kern w:val="0"/>
                <w:sz w:val="20"/>
                <w:szCs w:val="20"/>
                <w:highlight w:val="none"/>
              </w:rPr>
            </w:pPr>
            <w:r>
              <w:rPr>
                <w:rFonts w:hint="eastAsia" w:ascii="宋体" w:hAnsi="宋体" w:eastAsia="宋体" w:cs="宋体"/>
                <w:color w:val="auto"/>
                <w:kern w:val="0"/>
                <w:sz w:val="20"/>
                <w:szCs w:val="20"/>
                <w:highlight w:val="none"/>
              </w:rPr>
              <w:t>项目来源</w:t>
            </w:r>
          </w:p>
        </w:tc>
        <w:tc>
          <w:tcPr>
            <w:tcW w:w="3349" w:type="dxa"/>
            <w:gridSpan w:val="2"/>
            <w:tcBorders>
              <w:tl2br w:val="nil"/>
              <w:tr2bl w:val="nil"/>
            </w:tcBorders>
            <w:vAlign w:val="center"/>
          </w:tcPr>
          <w:p w14:paraId="2F998CD0">
            <w:pPr>
              <w:keepNext w:val="0"/>
              <w:keepLines w:val="0"/>
              <w:pageBreakBefore w:val="0"/>
              <w:kinsoku/>
              <w:wordWrap/>
              <w:overflowPunct/>
              <w:topLinePunct w:val="0"/>
              <w:autoSpaceDE/>
              <w:autoSpaceDN/>
              <w:bidi w:val="0"/>
              <w:adjustRightInd/>
              <w:snapToGrid/>
              <w:spacing w:line="240" w:lineRule="auto"/>
              <w:jc w:val="center"/>
              <w:rPr>
                <w:rFonts w:ascii="宋体" w:cs="宋体"/>
                <w:color w:val="auto"/>
                <w:kern w:val="0"/>
                <w:sz w:val="20"/>
                <w:szCs w:val="20"/>
                <w:highlight w:val="none"/>
              </w:rPr>
            </w:pPr>
          </w:p>
        </w:tc>
        <w:tc>
          <w:tcPr>
            <w:tcW w:w="1848" w:type="dxa"/>
            <w:tcBorders>
              <w:tl2br w:val="nil"/>
              <w:tr2bl w:val="nil"/>
            </w:tcBorders>
            <w:vAlign w:val="center"/>
          </w:tcPr>
          <w:p w14:paraId="3E87F150">
            <w:pPr>
              <w:keepNext w:val="0"/>
              <w:keepLines w:val="0"/>
              <w:pageBreakBefore w:val="0"/>
              <w:widowControl/>
              <w:kinsoku/>
              <w:wordWrap/>
              <w:overflowPunct/>
              <w:topLinePunct w:val="0"/>
              <w:autoSpaceDE/>
              <w:autoSpaceDN/>
              <w:bidi w:val="0"/>
              <w:adjustRightInd/>
              <w:snapToGrid/>
              <w:spacing w:line="240" w:lineRule="auto"/>
              <w:jc w:val="center"/>
              <w:textAlignment w:val="center"/>
              <w:rPr>
                <w:color w:val="auto"/>
                <w:kern w:val="0"/>
                <w:sz w:val="20"/>
                <w:szCs w:val="20"/>
                <w:highlight w:val="none"/>
              </w:rPr>
            </w:pPr>
            <w:r>
              <w:rPr>
                <w:rFonts w:hint="eastAsia" w:ascii="宋体" w:hAnsi="宋体" w:eastAsia="宋体" w:cs="宋体"/>
                <w:color w:val="auto"/>
                <w:kern w:val="0"/>
                <w:sz w:val="20"/>
                <w:szCs w:val="20"/>
                <w:highlight w:val="none"/>
              </w:rPr>
              <w:t>项目期</w:t>
            </w:r>
          </w:p>
        </w:tc>
        <w:tc>
          <w:tcPr>
            <w:tcW w:w="2380" w:type="dxa"/>
            <w:tcBorders>
              <w:tl2br w:val="nil"/>
              <w:tr2bl w:val="nil"/>
            </w:tcBorders>
            <w:shd w:val="clear" w:color="auto" w:fill="auto"/>
            <w:vAlign w:val="center"/>
          </w:tcPr>
          <w:p w14:paraId="18D6A707">
            <w:pPr>
              <w:keepNext w:val="0"/>
              <w:keepLines w:val="0"/>
              <w:pageBreakBefore w:val="0"/>
              <w:widowControl/>
              <w:kinsoku/>
              <w:wordWrap/>
              <w:overflowPunct/>
              <w:topLinePunct w:val="0"/>
              <w:autoSpaceDE/>
              <w:autoSpaceDN/>
              <w:bidi w:val="0"/>
              <w:adjustRightInd/>
              <w:snapToGrid/>
              <w:spacing w:line="240" w:lineRule="auto"/>
              <w:jc w:val="center"/>
              <w:rPr>
                <w:rFonts w:ascii="宋体" w:hAnsi="宋体" w:eastAsia="宋体" w:cs="宋体"/>
                <w:color w:val="auto"/>
                <w:kern w:val="0"/>
                <w:sz w:val="20"/>
                <w:szCs w:val="20"/>
                <w:highlight w:val="none"/>
                <w:lang w:val="en-US" w:eastAsia="zh-CN" w:bidi="ar-SA"/>
              </w:rPr>
            </w:pPr>
            <w:r>
              <w:rPr>
                <w:rFonts w:hint="eastAsia" w:ascii="宋体" w:hAnsi="宋体" w:eastAsia="宋体" w:cs="宋体"/>
                <w:color w:val="auto"/>
                <w:kern w:val="0"/>
                <w:sz w:val="20"/>
                <w:szCs w:val="20"/>
                <w:highlight w:val="none"/>
              </w:rPr>
              <w:t>1年</w:t>
            </w:r>
          </w:p>
        </w:tc>
      </w:tr>
      <w:tr w14:paraId="2A1AFD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jc w:val="center"/>
        </w:trPr>
        <w:tc>
          <w:tcPr>
            <w:tcW w:w="1443" w:type="dxa"/>
            <w:gridSpan w:val="3"/>
            <w:vMerge w:val="restart"/>
            <w:tcBorders>
              <w:tl2br w:val="nil"/>
              <w:tr2bl w:val="nil"/>
            </w:tcBorders>
            <w:vAlign w:val="center"/>
          </w:tcPr>
          <w:p w14:paraId="4D4A642E">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ascii="宋体" w:cs="宋体"/>
                <w:color w:val="auto"/>
                <w:kern w:val="0"/>
                <w:sz w:val="20"/>
                <w:szCs w:val="20"/>
                <w:highlight w:val="none"/>
              </w:rPr>
            </w:pPr>
            <w:r>
              <w:rPr>
                <w:rFonts w:hint="eastAsia" w:ascii="宋体" w:hAnsi="宋体" w:eastAsia="宋体" w:cs="宋体"/>
                <w:color w:val="auto"/>
                <w:kern w:val="0"/>
                <w:sz w:val="20"/>
                <w:szCs w:val="20"/>
                <w:highlight w:val="none"/>
              </w:rPr>
              <w:t>项目资金</w:t>
            </w:r>
            <w:r>
              <w:rPr>
                <w:rFonts w:hint="eastAsia" w:ascii="宋体" w:hAnsi="宋体" w:eastAsia="宋体" w:cs="宋体"/>
                <w:color w:val="auto"/>
                <w:kern w:val="0"/>
                <w:sz w:val="20"/>
                <w:szCs w:val="20"/>
                <w:highlight w:val="none"/>
              </w:rPr>
              <w:br w:type="textWrapping"/>
            </w:r>
            <w:r>
              <w:rPr>
                <w:rFonts w:hint="eastAsia" w:ascii="宋体" w:hAnsi="宋体" w:eastAsia="宋体" w:cs="宋体"/>
                <w:color w:val="auto"/>
                <w:kern w:val="0"/>
                <w:sz w:val="20"/>
                <w:szCs w:val="20"/>
                <w:highlight w:val="none"/>
              </w:rPr>
              <w:t>（万元）</w:t>
            </w:r>
          </w:p>
        </w:tc>
        <w:tc>
          <w:tcPr>
            <w:tcW w:w="3349" w:type="dxa"/>
            <w:gridSpan w:val="2"/>
            <w:tcBorders>
              <w:tl2br w:val="nil"/>
              <w:tr2bl w:val="nil"/>
            </w:tcBorders>
            <w:vAlign w:val="center"/>
          </w:tcPr>
          <w:p w14:paraId="721898F7">
            <w:pPr>
              <w:keepNext w:val="0"/>
              <w:keepLines w:val="0"/>
              <w:pageBreakBefore w:val="0"/>
              <w:widowControl/>
              <w:kinsoku/>
              <w:wordWrap/>
              <w:overflowPunct/>
              <w:topLinePunct w:val="0"/>
              <w:autoSpaceDE/>
              <w:autoSpaceDN/>
              <w:bidi w:val="0"/>
              <w:adjustRightInd/>
              <w:snapToGrid/>
              <w:spacing w:line="240" w:lineRule="auto"/>
              <w:jc w:val="left"/>
              <w:textAlignment w:val="center"/>
              <w:rPr>
                <w:rFonts w:ascii="宋体" w:cs="宋体"/>
                <w:color w:val="auto"/>
                <w:kern w:val="0"/>
                <w:sz w:val="20"/>
                <w:szCs w:val="20"/>
                <w:highlight w:val="none"/>
              </w:rPr>
            </w:pPr>
            <w:r>
              <w:rPr>
                <w:rFonts w:hint="eastAsia" w:ascii="宋体" w:hAnsi="宋体" w:eastAsia="宋体" w:cs="宋体"/>
                <w:color w:val="auto"/>
                <w:kern w:val="0"/>
                <w:sz w:val="20"/>
                <w:szCs w:val="20"/>
                <w:highlight w:val="none"/>
              </w:rPr>
              <w:t xml:space="preserve"> 年度资金总额：</w:t>
            </w:r>
          </w:p>
        </w:tc>
        <w:tc>
          <w:tcPr>
            <w:tcW w:w="4228" w:type="dxa"/>
            <w:gridSpan w:val="2"/>
            <w:tcBorders>
              <w:tl2br w:val="nil"/>
              <w:tr2bl w:val="nil"/>
            </w:tcBorders>
            <w:shd w:val="clear" w:color="auto" w:fill="auto"/>
            <w:vAlign w:val="center"/>
          </w:tcPr>
          <w:p w14:paraId="15D31464">
            <w:pPr>
              <w:keepNext w:val="0"/>
              <w:keepLines w:val="0"/>
              <w:widowControl/>
              <w:suppressLineNumbers w:val="0"/>
              <w:jc w:val="right"/>
              <w:textAlignment w:val="center"/>
              <w:rPr>
                <w:rFonts w:ascii="宋体" w:hAnsi="宋体" w:eastAsia="宋体" w:cs="宋体"/>
                <w:color w:val="auto"/>
                <w:kern w:val="0"/>
                <w:sz w:val="20"/>
                <w:szCs w:val="20"/>
                <w:highlight w:val="none"/>
                <w:lang w:val="en-US" w:eastAsia="zh-CN" w:bidi="ar-SA"/>
              </w:rPr>
            </w:pPr>
            <w:r>
              <w:rPr>
                <w:rFonts w:hint="eastAsia" w:ascii="宋体" w:hAnsi="宋体" w:eastAsia="宋体" w:cs="宋体"/>
                <w:i w:val="0"/>
                <w:iCs w:val="0"/>
                <w:color w:val="auto"/>
                <w:kern w:val="0"/>
                <w:sz w:val="20"/>
                <w:szCs w:val="20"/>
                <w:highlight w:val="none"/>
                <w:u w:val="none"/>
                <w:lang w:val="en-US" w:eastAsia="zh-CN" w:bidi="ar"/>
              </w:rPr>
              <w:t xml:space="preserve">      25.00 </w:t>
            </w:r>
          </w:p>
        </w:tc>
      </w:tr>
      <w:tr w14:paraId="2AB491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jc w:val="center"/>
        </w:trPr>
        <w:tc>
          <w:tcPr>
            <w:tcW w:w="1443" w:type="dxa"/>
            <w:gridSpan w:val="3"/>
            <w:vMerge w:val="continue"/>
            <w:tcBorders>
              <w:tl2br w:val="nil"/>
              <w:tr2bl w:val="nil"/>
            </w:tcBorders>
            <w:vAlign w:val="center"/>
          </w:tcPr>
          <w:p w14:paraId="61DA54CF">
            <w:pPr>
              <w:keepNext w:val="0"/>
              <w:keepLines w:val="0"/>
              <w:pageBreakBefore w:val="0"/>
              <w:kinsoku/>
              <w:wordWrap/>
              <w:overflowPunct/>
              <w:topLinePunct w:val="0"/>
              <w:autoSpaceDE/>
              <w:autoSpaceDN/>
              <w:bidi w:val="0"/>
              <w:adjustRightInd/>
              <w:snapToGrid/>
              <w:spacing w:line="240" w:lineRule="auto"/>
              <w:jc w:val="center"/>
              <w:rPr>
                <w:rFonts w:ascii="宋体" w:cs="宋体"/>
                <w:color w:val="auto"/>
                <w:kern w:val="0"/>
                <w:sz w:val="20"/>
                <w:szCs w:val="20"/>
                <w:highlight w:val="none"/>
              </w:rPr>
            </w:pPr>
          </w:p>
        </w:tc>
        <w:tc>
          <w:tcPr>
            <w:tcW w:w="3349" w:type="dxa"/>
            <w:gridSpan w:val="2"/>
            <w:tcBorders>
              <w:tl2br w:val="nil"/>
              <w:tr2bl w:val="nil"/>
            </w:tcBorders>
            <w:vAlign w:val="center"/>
          </w:tcPr>
          <w:p w14:paraId="027FE7BF">
            <w:pPr>
              <w:keepNext w:val="0"/>
              <w:keepLines w:val="0"/>
              <w:pageBreakBefore w:val="0"/>
              <w:widowControl/>
              <w:kinsoku/>
              <w:wordWrap/>
              <w:overflowPunct/>
              <w:topLinePunct w:val="0"/>
              <w:autoSpaceDE/>
              <w:autoSpaceDN/>
              <w:bidi w:val="0"/>
              <w:adjustRightInd/>
              <w:snapToGrid/>
              <w:spacing w:line="240" w:lineRule="auto"/>
              <w:jc w:val="left"/>
              <w:textAlignment w:val="center"/>
              <w:rPr>
                <w:rFonts w:ascii="宋体" w:cs="宋体"/>
                <w:color w:val="auto"/>
                <w:kern w:val="0"/>
                <w:sz w:val="20"/>
                <w:szCs w:val="20"/>
                <w:highlight w:val="none"/>
              </w:rPr>
            </w:pPr>
            <w:r>
              <w:rPr>
                <w:rFonts w:hint="eastAsia" w:ascii="宋体" w:hAnsi="宋体" w:eastAsia="宋体" w:cs="宋体"/>
                <w:color w:val="auto"/>
                <w:kern w:val="0"/>
                <w:sz w:val="20"/>
                <w:szCs w:val="20"/>
                <w:highlight w:val="none"/>
              </w:rPr>
              <w:t xml:space="preserve">   其中：财政拨款</w:t>
            </w:r>
          </w:p>
        </w:tc>
        <w:tc>
          <w:tcPr>
            <w:tcW w:w="4228" w:type="dxa"/>
            <w:gridSpan w:val="2"/>
            <w:tcBorders>
              <w:tl2br w:val="nil"/>
              <w:tr2bl w:val="nil"/>
            </w:tcBorders>
            <w:shd w:val="clear" w:color="auto" w:fill="auto"/>
            <w:vAlign w:val="center"/>
          </w:tcPr>
          <w:p w14:paraId="242E6A4D">
            <w:pPr>
              <w:keepNext w:val="0"/>
              <w:keepLines w:val="0"/>
              <w:widowControl/>
              <w:suppressLineNumbers w:val="0"/>
              <w:jc w:val="right"/>
              <w:textAlignment w:val="center"/>
              <w:rPr>
                <w:rFonts w:ascii="宋体" w:hAnsi="宋体" w:eastAsia="宋体" w:cs="宋体"/>
                <w:color w:val="auto"/>
                <w:kern w:val="0"/>
                <w:sz w:val="20"/>
                <w:szCs w:val="20"/>
                <w:highlight w:val="none"/>
                <w:lang w:val="en-US" w:eastAsia="zh-CN" w:bidi="ar-SA"/>
              </w:rPr>
            </w:pPr>
            <w:r>
              <w:rPr>
                <w:rFonts w:hint="eastAsia" w:ascii="宋体" w:hAnsi="宋体" w:eastAsia="宋体" w:cs="宋体"/>
                <w:i w:val="0"/>
                <w:iCs w:val="0"/>
                <w:color w:val="auto"/>
                <w:kern w:val="0"/>
                <w:sz w:val="20"/>
                <w:szCs w:val="20"/>
                <w:highlight w:val="none"/>
                <w:u w:val="none"/>
                <w:lang w:val="en-US" w:eastAsia="zh-CN" w:bidi="ar"/>
              </w:rPr>
              <w:t xml:space="preserve">      25.00 </w:t>
            </w:r>
          </w:p>
        </w:tc>
      </w:tr>
      <w:tr w14:paraId="15103B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jc w:val="center"/>
        </w:trPr>
        <w:tc>
          <w:tcPr>
            <w:tcW w:w="1443" w:type="dxa"/>
            <w:gridSpan w:val="3"/>
            <w:vMerge w:val="continue"/>
            <w:tcBorders>
              <w:tl2br w:val="nil"/>
              <w:tr2bl w:val="nil"/>
            </w:tcBorders>
            <w:vAlign w:val="center"/>
          </w:tcPr>
          <w:p w14:paraId="104886D3">
            <w:pPr>
              <w:keepNext w:val="0"/>
              <w:keepLines w:val="0"/>
              <w:pageBreakBefore w:val="0"/>
              <w:kinsoku/>
              <w:wordWrap/>
              <w:overflowPunct/>
              <w:topLinePunct w:val="0"/>
              <w:autoSpaceDE/>
              <w:autoSpaceDN/>
              <w:bidi w:val="0"/>
              <w:adjustRightInd/>
              <w:snapToGrid/>
              <w:spacing w:line="240" w:lineRule="auto"/>
              <w:jc w:val="center"/>
              <w:rPr>
                <w:rFonts w:ascii="宋体" w:cs="宋体"/>
                <w:color w:val="auto"/>
                <w:kern w:val="0"/>
                <w:sz w:val="20"/>
                <w:szCs w:val="20"/>
                <w:highlight w:val="none"/>
              </w:rPr>
            </w:pPr>
          </w:p>
        </w:tc>
        <w:tc>
          <w:tcPr>
            <w:tcW w:w="3349" w:type="dxa"/>
            <w:gridSpan w:val="2"/>
            <w:tcBorders>
              <w:tl2br w:val="nil"/>
              <w:tr2bl w:val="nil"/>
            </w:tcBorders>
            <w:vAlign w:val="center"/>
          </w:tcPr>
          <w:p w14:paraId="3128A784">
            <w:pPr>
              <w:keepNext w:val="0"/>
              <w:keepLines w:val="0"/>
              <w:pageBreakBefore w:val="0"/>
              <w:widowControl/>
              <w:kinsoku/>
              <w:wordWrap/>
              <w:overflowPunct/>
              <w:topLinePunct w:val="0"/>
              <w:autoSpaceDE/>
              <w:autoSpaceDN/>
              <w:bidi w:val="0"/>
              <w:adjustRightInd/>
              <w:snapToGrid/>
              <w:spacing w:line="240" w:lineRule="auto"/>
              <w:jc w:val="left"/>
              <w:textAlignment w:val="center"/>
              <w:rPr>
                <w:rFonts w:ascii="宋体" w:cs="宋体"/>
                <w:color w:val="auto"/>
                <w:kern w:val="0"/>
                <w:sz w:val="20"/>
                <w:szCs w:val="20"/>
                <w:highlight w:val="none"/>
              </w:rPr>
            </w:pPr>
            <w:r>
              <w:rPr>
                <w:rFonts w:hint="eastAsia" w:ascii="宋体" w:hAnsi="宋体" w:eastAsia="宋体" w:cs="宋体"/>
                <w:color w:val="auto"/>
                <w:kern w:val="0"/>
                <w:sz w:val="20"/>
                <w:szCs w:val="20"/>
                <w:highlight w:val="none"/>
              </w:rPr>
              <w:t xml:space="preserve">         上年结转</w:t>
            </w:r>
          </w:p>
        </w:tc>
        <w:tc>
          <w:tcPr>
            <w:tcW w:w="4228" w:type="dxa"/>
            <w:gridSpan w:val="2"/>
            <w:tcBorders>
              <w:tl2br w:val="nil"/>
              <w:tr2bl w:val="nil"/>
            </w:tcBorders>
            <w:shd w:val="clear" w:color="auto" w:fill="auto"/>
            <w:vAlign w:val="center"/>
          </w:tcPr>
          <w:p w14:paraId="4562DE81">
            <w:pPr>
              <w:keepNext w:val="0"/>
              <w:keepLines w:val="0"/>
              <w:widowControl/>
              <w:suppressLineNumbers w:val="0"/>
              <w:jc w:val="right"/>
              <w:textAlignment w:val="center"/>
              <w:rPr>
                <w:rFonts w:ascii="宋体" w:hAnsi="宋体" w:eastAsia="宋体" w:cs="宋体"/>
                <w:color w:val="auto"/>
                <w:kern w:val="0"/>
                <w:sz w:val="20"/>
                <w:szCs w:val="20"/>
                <w:highlight w:val="none"/>
                <w:lang w:val="en-US" w:eastAsia="zh-CN" w:bidi="ar-SA"/>
              </w:rPr>
            </w:pPr>
            <w:r>
              <w:rPr>
                <w:rFonts w:hint="eastAsia" w:ascii="宋体" w:hAnsi="宋体" w:eastAsia="宋体" w:cs="宋体"/>
                <w:i w:val="0"/>
                <w:iCs w:val="0"/>
                <w:color w:val="auto"/>
                <w:kern w:val="0"/>
                <w:sz w:val="20"/>
                <w:szCs w:val="20"/>
                <w:highlight w:val="none"/>
                <w:u w:val="none"/>
                <w:lang w:val="en-US" w:eastAsia="zh-CN" w:bidi="ar"/>
              </w:rPr>
              <w:t xml:space="preserve">      0.00 </w:t>
            </w:r>
          </w:p>
        </w:tc>
      </w:tr>
      <w:tr w14:paraId="087E8C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jc w:val="center"/>
        </w:trPr>
        <w:tc>
          <w:tcPr>
            <w:tcW w:w="1443" w:type="dxa"/>
            <w:gridSpan w:val="3"/>
            <w:vMerge w:val="continue"/>
            <w:tcBorders>
              <w:tl2br w:val="nil"/>
              <w:tr2bl w:val="nil"/>
            </w:tcBorders>
            <w:vAlign w:val="center"/>
          </w:tcPr>
          <w:p w14:paraId="5462B227">
            <w:pPr>
              <w:keepNext w:val="0"/>
              <w:keepLines w:val="0"/>
              <w:pageBreakBefore w:val="0"/>
              <w:kinsoku/>
              <w:wordWrap/>
              <w:overflowPunct/>
              <w:topLinePunct w:val="0"/>
              <w:autoSpaceDE/>
              <w:autoSpaceDN/>
              <w:bidi w:val="0"/>
              <w:adjustRightInd/>
              <w:snapToGrid/>
              <w:spacing w:line="240" w:lineRule="auto"/>
              <w:jc w:val="center"/>
              <w:rPr>
                <w:rFonts w:ascii="宋体" w:cs="宋体"/>
                <w:color w:val="auto"/>
                <w:kern w:val="0"/>
                <w:sz w:val="20"/>
                <w:szCs w:val="20"/>
                <w:highlight w:val="none"/>
              </w:rPr>
            </w:pPr>
          </w:p>
        </w:tc>
        <w:tc>
          <w:tcPr>
            <w:tcW w:w="3349" w:type="dxa"/>
            <w:gridSpan w:val="2"/>
            <w:tcBorders>
              <w:tl2br w:val="nil"/>
              <w:tr2bl w:val="nil"/>
            </w:tcBorders>
            <w:vAlign w:val="center"/>
          </w:tcPr>
          <w:p w14:paraId="10444731">
            <w:pPr>
              <w:keepNext w:val="0"/>
              <w:keepLines w:val="0"/>
              <w:pageBreakBefore w:val="0"/>
              <w:widowControl/>
              <w:kinsoku/>
              <w:wordWrap/>
              <w:overflowPunct/>
              <w:topLinePunct w:val="0"/>
              <w:autoSpaceDE/>
              <w:autoSpaceDN/>
              <w:bidi w:val="0"/>
              <w:adjustRightInd/>
              <w:snapToGrid/>
              <w:spacing w:line="240" w:lineRule="auto"/>
              <w:jc w:val="left"/>
              <w:textAlignment w:val="center"/>
              <w:rPr>
                <w:rFonts w:ascii="宋体" w:cs="宋体"/>
                <w:color w:val="auto"/>
                <w:kern w:val="0"/>
                <w:sz w:val="20"/>
                <w:szCs w:val="20"/>
                <w:highlight w:val="none"/>
              </w:rPr>
            </w:pPr>
            <w:r>
              <w:rPr>
                <w:rFonts w:hint="eastAsia" w:ascii="宋体" w:hAnsi="宋体" w:eastAsia="宋体" w:cs="宋体"/>
                <w:color w:val="auto"/>
                <w:kern w:val="0"/>
                <w:sz w:val="20"/>
                <w:szCs w:val="20"/>
                <w:highlight w:val="none"/>
              </w:rPr>
              <w:t xml:space="preserve">         其他资金</w:t>
            </w:r>
          </w:p>
        </w:tc>
        <w:tc>
          <w:tcPr>
            <w:tcW w:w="4228" w:type="dxa"/>
            <w:gridSpan w:val="2"/>
            <w:tcBorders>
              <w:tl2br w:val="nil"/>
              <w:tr2bl w:val="nil"/>
            </w:tcBorders>
            <w:vAlign w:val="center"/>
          </w:tcPr>
          <w:p w14:paraId="55232A98">
            <w:pPr>
              <w:keepNext w:val="0"/>
              <w:keepLines w:val="0"/>
              <w:widowControl/>
              <w:suppressLineNumbers w:val="0"/>
              <w:jc w:val="right"/>
              <w:textAlignment w:val="center"/>
              <w:rPr>
                <w:rFonts w:hint="default" w:ascii="宋体" w:cs="宋体" w:eastAsiaTheme="minorEastAsia"/>
                <w:color w:val="auto"/>
                <w:kern w:val="0"/>
                <w:sz w:val="20"/>
                <w:szCs w:val="20"/>
                <w:highlight w:val="none"/>
                <w:lang w:val="en-US" w:eastAsia="zh-CN"/>
              </w:rPr>
            </w:pPr>
            <w:r>
              <w:rPr>
                <w:rFonts w:hint="eastAsia" w:ascii="宋体" w:hAnsi="宋体" w:eastAsia="宋体" w:cs="宋体"/>
                <w:i w:val="0"/>
                <w:iCs w:val="0"/>
                <w:color w:val="auto"/>
                <w:kern w:val="0"/>
                <w:sz w:val="20"/>
                <w:szCs w:val="20"/>
                <w:highlight w:val="none"/>
                <w:u w:val="none"/>
                <w:lang w:val="en-US" w:eastAsia="zh-CN" w:bidi="ar"/>
              </w:rPr>
              <w:t xml:space="preserve">      0.00 </w:t>
            </w:r>
          </w:p>
        </w:tc>
      </w:tr>
      <w:tr w14:paraId="6429AB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5" w:hRule="atLeast"/>
          <w:jc w:val="center"/>
        </w:trPr>
        <w:tc>
          <w:tcPr>
            <w:tcW w:w="438" w:type="dxa"/>
            <w:tcBorders>
              <w:tl2br w:val="nil"/>
              <w:tr2bl w:val="nil"/>
            </w:tcBorders>
            <w:vAlign w:val="center"/>
          </w:tcPr>
          <w:p w14:paraId="6B54566B">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ascii="宋体" w:cs="宋体"/>
                <w:color w:val="auto"/>
                <w:kern w:val="0"/>
                <w:sz w:val="20"/>
                <w:szCs w:val="20"/>
                <w:highlight w:val="none"/>
              </w:rPr>
            </w:pPr>
            <w:r>
              <w:rPr>
                <w:rFonts w:hint="eastAsia" w:ascii="宋体" w:hAnsi="宋体" w:eastAsia="宋体" w:cs="宋体"/>
                <w:color w:val="auto"/>
                <w:kern w:val="0"/>
                <w:sz w:val="20"/>
                <w:szCs w:val="20"/>
                <w:highlight w:val="none"/>
              </w:rPr>
              <w:t>年度</w:t>
            </w:r>
            <w:r>
              <w:rPr>
                <w:rFonts w:hint="eastAsia" w:ascii="宋体" w:hAnsi="宋体" w:eastAsia="宋体" w:cs="宋体"/>
                <w:color w:val="auto"/>
                <w:kern w:val="0"/>
                <w:sz w:val="20"/>
                <w:szCs w:val="20"/>
                <w:highlight w:val="none"/>
              </w:rPr>
              <w:br w:type="textWrapping"/>
            </w:r>
            <w:r>
              <w:rPr>
                <w:rFonts w:hint="eastAsia" w:ascii="宋体" w:hAnsi="宋体" w:eastAsia="宋体" w:cs="宋体"/>
                <w:color w:val="auto"/>
                <w:kern w:val="0"/>
                <w:sz w:val="20"/>
                <w:szCs w:val="20"/>
                <w:highlight w:val="none"/>
              </w:rPr>
              <w:t>目标</w:t>
            </w:r>
          </w:p>
        </w:tc>
        <w:tc>
          <w:tcPr>
            <w:tcW w:w="8582" w:type="dxa"/>
            <w:gridSpan w:val="6"/>
            <w:tcBorders>
              <w:tl2br w:val="nil"/>
              <w:tr2bl w:val="nil"/>
            </w:tcBorders>
            <w:vAlign w:val="center"/>
          </w:tcPr>
          <w:p w14:paraId="3CB94AEA">
            <w:pPr>
              <w:keepNext w:val="0"/>
              <w:keepLines w:val="0"/>
              <w:pageBreakBefore w:val="0"/>
              <w:kinsoku/>
              <w:wordWrap/>
              <w:overflowPunct/>
              <w:topLinePunct w:val="0"/>
              <w:autoSpaceDE/>
              <w:autoSpaceDN/>
              <w:bidi w:val="0"/>
              <w:adjustRightInd/>
              <w:snapToGrid/>
              <w:spacing w:line="240" w:lineRule="auto"/>
              <w:jc w:val="left"/>
              <w:rPr>
                <w:rFonts w:ascii="宋体" w:cs="宋体"/>
                <w:color w:val="auto"/>
                <w:kern w:val="0"/>
                <w:sz w:val="20"/>
                <w:szCs w:val="20"/>
                <w:highlight w:val="none"/>
              </w:rPr>
            </w:pPr>
            <w:r>
              <w:rPr>
                <w:rFonts w:hint="eastAsia" w:ascii="宋体" w:cs="宋体"/>
                <w:color w:val="auto"/>
                <w:kern w:val="0"/>
                <w:sz w:val="20"/>
                <w:szCs w:val="20"/>
                <w:highlight w:val="none"/>
              </w:rPr>
              <w:t>建立完善的疾病预防控制体系和医疗救治体系，提高我市应对重大疾病和突发性公共卫生事件的防御能力及救治</w:t>
            </w:r>
            <w:r>
              <w:rPr>
                <w:rFonts w:hint="eastAsia" w:ascii="宋体" w:cs="宋体"/>
                <w:color w:val="auto"/>
                <w:kern w:val="0"/>
                <w:sz w:val="20"/>
                <w:szCs w:val="20"/>
                <w:highlight w:val="none"/>
                <w:lang w:val="en-US" w:eastAsia="zh-CN"/>
              </w:rPr>
              <w:t>能力</w:t>
            </w:r>
            <w:r>
              <w:rPr>
                <w:rFonts w:hint="eastAsia" w:ascii="宋体" w:cs="宋体"/>
                <w:color w:val="auto"/>
                <w:kern w:val="0"/>
                <w:sz w:val="20"/>
                <w:szCs w:val="20"/>
                <w:highlight w:val="none"/>
              </w:rPr>
              <w:t>；完善卫生服务设施，重点加强疾病预防控制监测和信息网络建设。</w:t>
            </w:r>
          </w:p>
        </w:tc>
      </w:tr>
      <w:tr w14:paraId="1F1771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8" w:hRule="atLeast"/>
          <w:jc w:val="center"/>
        </w:trPr>
        <w:tc>
          <w:tcPr>
            <w:tcW w:w="438" w:type="dxa"/>
            <w:vMerge w:val="restart"/>
            <w:tcBorders>
              <w:tl2br w:val="nil"/>
              <w:tr2bl w:val="nil"/>
            </w:tcBorders>
            <w:vAlign w:val="center"/>
          </w:tcPr>
          <w:p w14:paraId="73BCAB4B">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ascii="宋体" w:cs="宋体"/>
                <w:color w:val="auto"/>
                <w:kern w:val="0"/>
                <w:sz w:val="20"/>
                <w:szCs w:val="20"/>
                <w:highlight w:val="none"/>
              </w:rPr>
            </w:pPr>
            <w:r>
              <w:rPr>
                <w:rFonts w:hint="eastAsia" w:ascii="宋体" w:hAnsi="宋体" w:eastAsia="宋体" w:cs="宋体"/>
                <w:color w:val="auto"/>
                <w:kern w:val="0"/>
                <w:sz w:val="20"/>
                <w:szCs w:val="20"/>
                <w:highlight w:val="none"/>
              </w:rPr>
              <w:t>绩</w:t>
            </w:r>
            <w:r>
              <w:rPr>
                <w:rFonts w:hint="eastAsia" w:ascii="宋体" w:hAnsi="宋体" w:eastAsia="宋体" w:cs="宋体"/>
                <w:color w:val="auto"/>
                <w:kern w:val="0"/>
                <w:sz w:val="20"/>
                <w:szCs w:val="20"/>
                <w:highlight w:val="none"/>
              </w:rPr>
              <w:br w:type="textWrapping"/>
            </w:r>
            <w:r>
              <w:rPr>
                <w:rFonts w:hint="eastAsia" w:ascii="宋体" w:hAnsi="宋体" w:eastAsia="宋体" w:cs="宋体"/>
                <w:color w:val="auto"/>
                <w:kern w:val="0"/>
                <w:sz w:val="20"/>
                <w:szCs w:val="20"/>
                <w:highlight w:val="none"/>
              </w:rPr>
              <w:t>效</w:t>
            </w:r>
            <w:r>
              <w:rPr>
                <w:rFonts w:hint="eastAsia" w:ascii="宋体" w:hAnsi="宋体" w:eastAsia="宋体" w:cs="宋体"/>
                <w:color w:val="auto"/>
                <w:kern w:val="0"/>
                <w:sz w:val="20"/>
                <w:szCs w:val="20"/>
                <w:highlight w:val="none"/>
              </w:rPr>
              <w:br w:type="textWrapping"/>
            </w:r>
            <w:r>
              <w:rPr>
                <w:rFonts w:hint="eastAsia" w:ascii="宋体" w:hAnsi="宋体" w:eastAsia="宋体" w:cs="宋体"/>
                <w:color w:val="auto"/>
                <w:kern w:val="0"/>
                <w:sz w:val="20"/>
                <w:szCs w:val="20"/>
                <w:highlight w:val="none"/>
              </w:rPr>
              <w:t>指</w:t>
            </w:r>
            <w:r>
              <w:rPr>
                <w:rFonts w:hint="eastAsia" w:ascii="宋体" w:hAnsi="宋体" w:eastAsia="宋体" w:cs="宋体"/>
                <w:color w:val="auto"/>
                <w:kern w:val="0"/>
                <w:sz w:val="20"/>
                <w:szCs w:val="20"/>
                <w:highlight w:val="none"/>
              </w:rPr>
              <w:br w:type="textWrapping"/>
            </w:r>
            <w:r>
              <w:rPr>
                <w:rFonts w:hint="eastAsia" w:ascii="宋体" w:hAnsi="宋体" w:eastAsia="宋体" w:cs="宋体"/>
                <w:color w:val="auto"/>
                <w:kern w:val="0"/>
                <w:sz w:val="20"/>
                <w:szCs w:val="20"/>
                <w:highlight w:val="none"/>
              </w:rPr>
              <w:t>标</w:t>
            </w:r>
          </w:p>
        </w:tc>
        <w:tc>
          <w:tcPr>
            <w:tcW w:w="723" w:type="dxa"/>
            <w:tcBorders>
              <w:tl2br w:val="nil"/>
              <w:tr2bl w:val="nil"/>
            </w:tcBorders>
            <w:vAlign w:val="center"/>
          </w:tcPr>
          <w:p w14:paraId="44850216">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ascii="宋体" w:cs="宋体"/>
                <w:color w:val="auto"/>
                <w:kern w:val="0"/>
                <w:sz w:val="20"/>
                <w:szCs w:val="20"/>
                <w:highlight w:val="none"/>
              </w:rPr>
            </w:pPr>
            <w:r>
              <w:rPr>
                <w:rFonts w:hint="eastAsia" w:ascii="宋体" w:hAnsi="宋体" w:eastAsia="宋体" w:cs="宋体"/>
                <w:color w:val="auto"/>
                <w:kern w:val="0"/>
                <w:sz w:val="20"/>
                <w:szCs w:val="20"/>
                <w:highlight w:val="none"/>
              </w:rPr>
              <w:t>一级</w:t>
            </w:r>
            <w:r>
              <w:rPr>
                <w:rFonts w:hint="eastAsia" w:ascii="宋体" w:hAnsi="宋体" w:eastAsia="宋体" w:cs="宋体"/>
                <w:color w:val="auto"/>
                <w:kern w:val="0"/>
                <w:sz w:val="20"/>
                <w:szCs w:val="20"/>
                <w:highlight w:val="none"/>
              </w:rPr>
              <w:br w:type="textWrapping"/>
            </w:r>
            <w:r>
              <w:rPr>
                <w:rFonts w:hint="eastAsia" w:ascii="宋体" w:hAnsi="宋体" w:eastAsia="宋体" w:cs="宋体"/>
                <w:color w:val="auto"/>
                <w:kern w:val="0"/>
                <w:sz w:val="20"/>
                <w:szCs w:val="20"/>
                <w:highlight w:val="none"/>
              </w:rPr>
              <w:t>指标</w:t>
            </w:r>
          </w:p>
        </w:tc>
        <w:tc>
          <w:tcPr>
            <w:tcW w:w="759" w:type="dxa"/>
            <w:gridSpan w:val="2"/>
            <w:tcBorders>
              <w:tl2br w:val="nil"/>
              <w:tr2bl w:val="nil"/>
            </w:tcBorders>
            <w:vAlign w:val="center"/>
          </w:tcPr>
          <w:p w14:paraId="0B01CD3F">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ascii="宋体" w:cs="宋体"/>
                <w:color w:val="auto"/>
                <w:kern w:val="0"/>
                <w:sz w:val="20"/>
                <w:szCs w:val="20"/>
                <w:highlight w:val="none"/>
              </w:rPr>
            </w:pPr>
            <w:r>
              <w:rPr>
                <w:rFonts w:hint="eastAsia" w:ascii="宋体" w:hAnsi="宋体" w:eastAsia="宋体" w:cs="宋体"/>
                <w:color w:val="auto"/>
                <w:kern w:val="0"/>
                <w:sz w:val="20"/>
                <w:szCs w:val="20"/>
                <w:highlight w:val="none"/>
              </w:rPr>
              <w:t>二级指标</w:t>
            </w:r>
          </w:p>
        </w:tc>
        <w:tc>
          <w:tcPr>
            <w:tcW w:w="2872" w:type="dxa"/>
            <w:tcBorders>
              <w:tl2br w:val="nil"/>
              <w:tr2bl w:val="nil"/>
            </w:tcBorders>
            <w:vAlign w:val="center"/>
          </w:tcPr>
          <w:p w14:paraId="338B10B5">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ascii="宋体" w:cs="宋体"/>
                <w:color w:val="auto"/>
                <w:kern w:val="0"/>
                <w:sz w:val="20"/>
                <w:szCs w:val="20"/>
                <w:highlight w:val="none"/>
              </w:rPr>
            </w:pPr>
            <w:r>
              <w:rPr>
                <w:rFonts w:hint="eastAsia" w:ascii="宋体" w:hAnsi="宋体" w:eastAsia="宋体" w:cs="宋体"/>
                <w:color w:val="auto"/>
                <w:kern w:val="0"/>
                <w:sz w:val="20"/>
                <w:szCs w:val="20"/>
                <w:highlight w:val="none"/>
              </w:rPr>
              <w:t>三级指标</w:t>
            </w:r>
          </w:p>
        </w:tc>
        <w:tc>
          <w:tcPr>
            <w:tcW w:w="4228" w:type="dxa"/>
            <w:gridSpan w:val="2"/>
            <w:tcBorders>
              <w:tl2br w:val="nil"/>
              <w:tr2bl w:val="nil"/>
            </w:tcBorders>
            <w:vAlign w:val="center"/>
          </w:tcPr>
          <w:p w14:paraId="3008830D">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ascii="宋体" w:cs="宋体"/>
                <w:color w:val="auto"/>
                <w:kern w:val="0"/>
                <w:sz w:val="20"/>
                <w:szCs w:val="20"/>
                <w:highlight w:val="none"/>
              </w:rPr>
            </w:pPr>
            <w:r>
              <w:rPr>
                <w:rFonts w:hint="eastAsia" w:ascii="宋体" w:hAnsi="宋体" w:eastAsia="宋体" w:cs="宋体"/>
                <w:color w:val="auto"/>
                <w:kern w:val="0"/>
                <w:sz w:val="20"/>
                <w:szCs w:val="20"/>
                <w:highlight w:val="none"/>
              </w:rPr>
              <w:t>指标值</w:t>
            </w:r>
          </w:p>
        </w:tc>
      </w:tr>
      <w:tr w14:paraId="3926E9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3" w:hRule="atLeast"/>
          <w:jc w:val="center"/>
        </w:trPr>
        <w:tc>
          <w:tcPr>
            <w:tcW w:w="438" w:type="dxa"/>
            <w:vMerge w:val="continue"/>
            <w:tcBorders>
              <w:tl2br w:val="nil"/>
              <w:tr2bl w:val="nil"/>
            </w:tcBorders>
            <w:vAlign w:val="center"/>
          </w:tcPr>
          <w:p w14:paraId="414E6F13">
            <w:pPr>
              <w:keepNext w:val="0"/>
              <w:keepLines w:val="0"/>
              <w:pageBreakBefore w:val="0"/>
              <w:kinsoku/>
              <w:wordWrap/>
              <w:overflowPunct/>
              <w:topLinePunct w:val="0"/>
              <w:autoSpaceDE/>
              <w:autoSpaceDN/>
              <w:bidi w:val="0"/>
              <w:adjustRightInd/>
              <w:snapToGrid/>
              <w:spacing w:line="240" w:lineRule="auto"/>
              <w:jc w:val="center"/>
              <w:rPr>
                <w:rFonts w:ascii="宋体" w:cs="宋体"/>
                <w:color w:val="auto"/>
                <w:kern w:val="0"/>
                <w:sz w:val="20"/>
                <w:szCs w:val="20"/>
                <w:highlight w:val="none"/>
              </w:rPr>
            </w:pPr>
          </w:p>
        </w:tc>
        <w:tc>
          <w:tcPr>
            <w:tcW w:w="723" w:type="dxa"/>
            <w:vMerge w:val="restart"/>
            <w:tcBorders>
              <w:tl2br w:val="nil"/>
              <w:tr2bl w:val="nil"/>
            </w:tcBorders>
            <w:vAlign w:val="center"/>
          </w:tcPr>
          <w:p w14:paraId="4D11C035">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ascii="宋体" w:cs="宋体"/>
                <w:color w:val="auto"/>
                <w:kern w:val="0"/>
                <w:sz w:val="20"/>
                <w:szCs w:val="20"/>
                <w:highlight w:val="none"/>
              </w:rPr>
            </w:pPr>
            <w:r>
              <w:rPr>
                <w:rFonts w:hint="eastAsia" w:ascii="宋体" w:hAnsi="宋体" w:eastAsia="宋体" w:cs="宋体"/>
                <w:color w:val="auto"/>
                <w:kern w:val="0"/>
                <w:sz w:val="20"/>
                <w:szCs w:val="20"/>
                <w:highlight w:val="none"/>
              </w:rPr>
              <w:t>产出指标</w:t>
            </w:r>
          </w:p>
        </w:tc>
        <w:tc>
          <w:tcPr>
            <w:tcW w:w="759" w:type="dxa"/>
            <w:gridSpan w:val="2"/>
            <w:tcBorders>
              <w:tl2br w:val="nil"/>
              <w:tr2bl w:val="nil"/>
            </w:tcBorders>
            <w:vAlign w:val="center"/>
          </w:tcPr>
          <w:p w14:paraId="69D24A42">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ascii="宋体" w:cs="宋体"/>
                <w:color w:val="auto"/>
                <w:kern w:val="0"/>
                <w:sz w:val="20"/>
                <w:szCs w:val="20"/>
                <w:highlight w:val="none"/>
              </w:rPr>
            </w:pPr>
            <w:r>
              <w:rPr>
                <w:rFonts w:hint="eastAsia" w:ascii="宋体" w:hAnsi="宋体" w:eastAsia="宋体" w:cs="宋体"/>
                <w:color w:val="auto"/>
                <w:kern w:val="0"/>
                <w:sz w:val="20"/>
                <w:szCs w:val="20"/>
                <w:highlight w:val="none"/>
              </w:rPr>
              <w:t>数量指标</w:t>
            </w:r>
          </w:p>
        </w:tc>
        <w:tc>
          <w:tcPr>
            <w:tcW w:w="2872" w:type="dxa"/>
            <w:tcBorders>
              <w:tl2br w:val="nil"/>
              <w:tr2bl w:val="nil"/>
            </w:tcBorders>
            <w:vAlign w:val="center"/>
          </w:tcPr>
          <w:p w14:paraId="0C80E26C">
            <w:pPr>
              <w:keepNext w:val="0"/>
              <w:keepLines w:val="0"/>
              <w:widowControl/>
              <w:suppressLineNumbers w:val="0"/>
              <w:jc w:val="left"/>
              <w:textAlignment w:val="center"/>
              <w:rPr>
                <w:rFonts w:ascii="宋体" w:cs="宋体"/>
                <w:color w:val="auto"/>
                <w:kern w:val="0"/>
                <w:sz w:val="20"/>
                <w:szCs w:val="20"/>
                <w:highlight w:val="none"/>
              </w:rPr>
            </w:pPr>
            <w:r>
              <w:rPr>
                <w:rFonts w:hint="eastAsia" w:ascii="宋体" w:hAnsi="宋体" w:eastAsia="宋体" w:cs="宋体"/>
                <w:i w:val="0"/>
                <w:iCs w:val="0"/>
                <w:color w:val="auto"/>
                <w:kern w:val="0"/>
                <w:sz w:val="20"/>
                <w:szCs w:val="20"/>
                <w:highlight w:val="none"/>
                <w:u w:val="none"/>
                <w:lang w:val="en-US" w:eastAsia="zh-CN" w:bidi="ar"/>
              </w:rPr>
              <w:t>指标1：偿还次数</w:t>
            </w:r>
          </w:p>
        </w:tc>
        <w:tc>
          <w:tcPr>
            <w:tcW w:w="4228" w:type="dxa"/>
            <w:gridSpan w:val="2"/>
            <w:tcBorders>
              <w:tl2br w:val="nil"/>
              <w:tr2bl w:val="nil"/>
            </w:tcBorders>
            <w:vAlign w:val="center"/>
          </w:tcPr>
          <w:p w14:paraId="765DCC71">
            <w:pPr>
              <w:keepNext w:val="0"/>
              <w:keepLines w:val="0"/>
              <w:widowControl/>
              <w:suppressLineNumbers w:val="0"/>
              <w:jc w:val="center"/>
              <w:textAlignment w:val="center"/>
              <w:rPr>
                <w:rFonts w:ascii="宋体" w:cs="宋体"/>
                <w:color w:val="auto"/>
                <w:kern w:val="0"/>
                <w:sz w:val="20"/>
                <w:szCs w:val="20"/>
                <w:highlight w:val="none"/>
              </w:rPr>
            </w:pPr>
            <w:r>
              <w:rPr>
                <w:rFonts w:hint="eastAsia" w:ascii="宋体" w:hAnsi="宋体" w:eastAsia="宋体" w:cs="宋体"/>
                <w:i w:val="0"/>
                <w:iCs w:val="0"/>
                <w:color w:val="auto"/>
                <w:kern w:val="0"/>
                <w:sz w:val="20"/>
                <w:szCs w:val="20"/>
                <w:highlight w:val="none"/>
                <w:u w:val="none"/>
                <w:lang w:val="en-US" w:eastAsia="zh-CN" w:bidi="ar"/>
              </w:rPr>
              <w:t>2次</w:t>
            </w:r>
          </w:p>
        </w:tc>
      </w:tr>
      <w:tr w14:paraId="2DB113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3" w:hRule="atLeast"/>
          <w:jc w:val="center"/>
        </w:trPr>
        <w:tc>
          <w:tcPr>
            <w:tcW w:w="438" w:type="dxa"/>
            <w:vMerge w:val="continue"/>
            <w:tcBorders>
              <w:tl2br w:val="nil"/>
              <w:tr2bl w:val="nil"/>
            </w:tcBorders>
            <w:vAlign w:val="center"/>
          </w:tcPr>
          <w:p w14:paraId="26CC6814">
            <w:pPr>
              <w:keepNext w:val="0"/>
              <w:keepLines w:val="0"/>
              <w:pageBreakBefore w:val="0"/>
              <w:kinsoku/>
              <w:wordWrap/>
              <w:overflowPunct/>
              <w:topLinePunct w:val="0"/>
              <w:autoSpaceDE/>
              <w:autoSpaceDN/>
              <w:bidi w:val="0"/>
              <w:adjustRightInd/>
              <w:snapToGrid/>
              <w:spacing w:line="240" w:lineRule="auto"/>
              <w:jc w:val="center"/>
              <w:rPr>
                <w:rFonts w:ascii="宋体" w:cs="宋体"/>
                <w:color w:val="auto"/>
                <w:kern w:val="0"/>
                <w:sz w:val="20"/>
                <w:szCs w:val="20"/>
                <w:highlight w:val="none"/>
              </w:rPr>
            </w:pPr>
          </w:p>
        </w:tc>
        <w:tc>
          <w:tcPr>
            <w:tcW w:w="723" w:type="dxa"/>
            <w:vMerge w:val="continue"/>
            <w:tcBorders>
              <w:tl2br w:val="nil"/>
              <w:tr2bl w:val="nil"/>
            </w:tcBorders>
            <w:vAlign w:val="center"/>
          </w:tcPr>
          <w:p w14:paraId="548E6957">
            <w:pPr>
              <w:keepNext w:val="0"/>
              <w:keepLines w:val="0"/>
              <w:pageBreakBefore w:val="0"/>
              <w:kinsoku/>
              <w:wordWrap/>
              <w:overflowPunct/>
              <w:topLinePunct w:val="0"/>
              <w:autoSpaceDE/>
              <w:autoSpaceDN/>
              <w:bidi w:val="0"/>
              <w:adjustRightInd/>
              <w:snapToGrid/>
              <w:spacing w:line="240" w:lineRule="auto"/>
              <w:jc w:val="center"/>
              <w:rPr>
                <w:rFonts w:ascii="宋体" w:cs="宋体"/>
                <w:color w:val="auto"/>
                <w:kern w:val="0"/>
                <w:sz w:val="20"/>
                <w:szCs w:val="20"/>
                <w:highlight w:val="none"/>
              </w:rPr>
            </w:pPr>
          </w:p>
        </w:tc>
        <w:tc>
          <w:tcPr>
            <w:tcW w:w="759" w:type="dxa"/>
            <w:gridSpan w:val="2"/>
            <w:tcBorders>
              <w:tl2br w:val="nil"/>
              <w:tr2bl w:val="nil"/>
            </w:tcBorders>
            <w:vAlign w:val="center"/>
          </w:tcPr>
          <w:p w14:paraId="6667BAC8">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ascii="宋体" w:cs="宋体"/>
                <w:color w:val="auto"/>
                <w:kern w:val="0"/>
                <w:sz w:val="20"/>
                <w:szCs w:val="20"/>
                <w:highlight w:val="none"/>
              </w:rPr>
            </w:pPr>
            <w:r>
              <w:rPr>
                <w:rFonts w:hint="eastAsia" w:ascii="宋体" w:hAnsi="宋体" w:eastAsia="宋体" w:cs="宋体"/>
                <w:color w:val="auto"/>
                <w:kern w:val="0"/>
                <w:sz w:val="20"/>
                <w:szCs w:val="20"/>
                <w:highlight w:val="none"/>
              </w:rPr>
              <w:t>质量指标</w:t>
            </w:r>
          </w:p>
        </w:tc>
        <w:tc>
          <w:tcPr>
            <w:tcW w:w="2872" w:type="dxa"/>
            <w:tcBorders>
              <w:tl2br w:val="nil"/>
              <w:tr2bl w:val="nil"/>
            </w:tcBorders>
            <w:vAlign w:val="center"/>
          </w:tcPr>
          <w:p w14:paraId="1B86CD07">
            <w:pPr>
              <w:keepNext w:val="0"/>
              <w:keepLines w:val="0"/>
              <w:widowControl/>
              <w:suppressLineNumbers w:val="0"/>
              <w:jc w:val="left"/>
              <w:textAlignment w:val="center"/>
              <w:rPr>
                <w:rFonts w:ascii="宋体" w:cs="宋体"/>
                <w:color w:val="auto"/>
                <w:kern w:val="0"/>
                <w:sz w:val="20"/>
                <w:szCs w:val="20"/>
                <w:highlight w:val="none"/>
              </w:rPr>
            </w:pPr>
            <w:r>
              <w:rPr>
                <w:rFonts w:hint="eastAsia" w:ascii="宋体" w:hAnsi="宋体" w:eastAsia="宋体" w:cs="宋体"/>
                <w:i w:val="0"/>
                <w:iCs w:val="0"/>
                <w:color w:val="auto"/>
                <w:kern w:val="0"/>
                <w:sz w:val="20"/>
                <w:szCs w:val="20"/>
                <w:highlight w:val="none"/>
                <w:u w:val="none"/>
                <w:lang w:val="en-US" w:eastAsia="zh-CN" w:bidi="ar"/>
              </w:rPr>
              <w:t>指标1：偿还金额完成率</w:t>
            </w:r>
          </w:p>
        </w:tc>
        <w:tc>
          <w:tcPr>
            <w:tcW w:w="4228" w:type="dxa"/>
            <w:gridSpan w:val="2"/>
            <w:tcBorders>
              <w:tl2br w:val="nil"/>
              <w:tr2bl w:val="nil"/>
            </w:tcBorders>
            <w:vAlign w:val="center"/>
          </w:tcPr>
          <w:p w14:paraId="385AD7D6">
            <w:pPr>
              <w:keepNext w:val="0"/>
              <w:keepLines w:val="0"/>
              <w:widowControl/>
              <w:suppressLineNumbers w:val="0"/>
              <w:jc w:val="center"/>
              <w:textAlignment w:val="center"/>
              <w:rPr>
                <w:rFonts w:ascii="宋体" w:cs="宋体"/>
                <w:color w:val="auto"/>
                <w:kern w:val="0"/>
                <w:sz w:val="20"/>
                <w:szCs w:val="20"/>
                <w:highlight w:val="none"/>
              </w:rPr>
            </w:pPr>
            <w:r>
              <w:rPr>
                <w:rFonts w:hint="eastAsia" w:ascii="宋体" w:hAnsi="宋体" w:eastAsia="宋体" w:cs="宋体"/>
                <w:i w:val="0"/>
                <w:iCs w:val="0"/>
                <w:color w:val="auto"/>
                <w:kern w:val="0"/>
                <w:sz w:val="20"/>
                <w:szCs w:val="20"/>
                <w:highlight w:val="none"/>
                <w:u w:val="none"/>
                <w:lang w:val="en-US" w:eastAsia="zh-CN" w:bidi="ar"/>
              </w:rPr>
              <w:t>100%</w:t>
            </w:r>
          </w:p>
        </w:tc>
      </w:tr>
      <w:tr w14:paraId="74FA6C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3" w:hRule="atLeast"/>
          <w:jc w:val="center"/>
        </w:trPr>
        <w:tc>
          <w:tcPr>
            <w:tcW w:w="438" w:type="dxa"/>
            <w:vMerge w:val="continue"/>
            <w:tcBorders>
              <w:tl2br w:val="nil"/>
              <w:tr2bl w:val="nil"/>
            </w:tcBorders>
            <w:vAlign w:val="center"/>
          </w:tcPr>
          <w:p w14:paraId="481CCE43">
            <w:pPr>
              <w:keepNext w:val="0"/>
              <w:keepLines w:val="0"/>
              <w:pageBreakBefore w:val="0"/>
              <w:kinsoku/>
              <w:wordWrap/>
              <w:overflowPunct/>
              <w:topLinePunct w:val="0"/>
              <w:autoSpaceDE/>
              <w:autoSpaceDN/>
              <w:bidi w:val="0"/>
              <w:adjustRightInd/>
              <w:snapToGrid/>
              <w:spacing w:line="240" w:lineRule="auto"/>
              <w:jc w:val="center"/>
              <w:rPr>
                <w:rFonts w:ascii="宋体" w:cs="宋体"/>
                <w:color w:val="auto"/>
                <w:kern w:val="0"/>
                <w:sz w:val="20"/>
                <w:szCs w:val="20"/>
              </w:rPr>
            </w:pPr>
          </w:p>
        </w:tc>
        <w:tc>
          <w:tcPr>
            <w:tcW w:w="723" w:type="dxa"/>
            <w:vMerge w:val="continue"/>
            <w:tcBorders>
              <w:tl2br w:val="nil"/>
              <w:tr2bl w:val="nil"/>
            </w:tcBorders>
            <w:vAlign w:val="center"/>
          </w:tcPr>
          <w:p w14:paraId="78EF9DC8">
            <w:pPr>
              <w:keepNext w:val="0"/>
              <w:keepLines w:val="0"/>
              <w:pageBreakBefore w:val="0"/>
              <w:kinsoku/>
              <w:wordWrap/>
              <w:overflowPunct/>
              <w:topLinePunct w:val="0"/>
              <w:autoSpaceDE/>
              <w:autoSpaceDN/>
              <w:bidi w:val="0"/>
              <w:adjustRightInd/>
              <w:snapToGrid/>
              <w:spacing w:line="240" w:lineRule="auto"/>
              <w:jc w:val="center"/>
              <w:rPr>
                <w:rFonts w:ascii="宋体" w:cs="宋体"/>
                <w:color w:val="auto"/>
                <w:kern w:val="0"/>
                <w:sz w:val="20"/>
                <w:szCs w:val="20"/>
              </w:rPr>
            </w:pPr>
          </w:p>
        </w:tc>
        <w:tc>
          <w:tcPr>
            <w:tcW w:w="759" w:type="dxa"/>
            <w:gridSpan w:val="2"/>
            <w:tcBorders>
              <w:tl2br w:val="nil"/>
              <w:tr2bl w:val="nil"/>
            </w:tcBorders>
            <w:vAlign w:val="center"/>
          </w:tcPr>
          <w:p w14:paraId="7A965354">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ascii="宋体" w:cs="宋体"/>
                <w:color w:val="auto"/>
                <w:kern w:val="0"/>
                <w:sz w:val="20"/>
                <w:szCs w:val="20"/>
              </w:rPr>
            </w:pPr>
            <w:r>
              <w:rPr>
                <w:rFonts w:hint="eastAsia" w:ascii="宋体" w:hAnsi="宋体" w:eastAsia="宋体" w:cs="宋体"/>
                <w:color w:val="auto"/>
                <w:kern w:val="0"/>
                <w:sz w:val="20"/>
                <w:szCs w:val="20"/>
              </w:rPr>
              <w:t>时效指标</w:t>
            </w:r>
          </w:p>
        </w:tc>
        <w:tc>
          <w:tcPr>
            <w:tcW w:w="2872" w:type="dxa"/>
            <w:tcBorders>
              <w:tl2br w:val="nil"/>
              <w:tr2bl w:val="nil"/>
            </w:tcBorders>
            <w:vAlign w:val="center"/>
          </w:tcPr>
          <w:p w14:paraId="7DC72DCD">
            <w:pPr>
              <w:keepNext w:val="0"/>
              <w:keepLines w:val="0"/>
              <w:widowControl/>
              <w:suppressLineNumbers w:val="0"/>
              <w:jc w:val="left"/>
              <w:textAlignment w:val="center"/>
              <w:rPr>
                <w:rFonts w:ascii="宋体" w:cs="宋体"/>
                <w:color w:val="auto"/>
                <w:kern w:val="0"/>
                <w:sz w:val="20"/>
                <w:szCs w:val="20"/>
              </w:rPr>
            </w:pPr>
            <w:r>
              <w:rPr>
                <w:rFonts w:hint="eastAsia" w:ascii="宋体" w:hAnsi="宋体" w:eastAsia="宋体" w:cs="宋体"/>
                <w:i w:val="0"/>
                <w:iCs w:val="0"/>
                <w:color w:val="auto"/>
                <w:kern w:val="0"/>
                <w:sz w:val="20"/>
                <w:szCs w:val="20"/>
                <w:u w:val="none"/>
                <w:lang w:val="en-US" w:eastAsia="zh-CN" w:bidi="ar"/>
              </w:rPr>
              <w:t>指标1：偿还时间</w:t>
            </w:r>
          </w:p>
        </w:tc>
        <w:tc>
          <w:tcPr>
            <w:tcW w:w="4228" w:type="dxa"/>
            <w:gridSpan w:val="2"/>
            <w:tcBorders>
              <w:tl2br w:val="nil"/>
              <w:tr2bl w:val="nil"/>
            </w:tcBorders>
            <w:vAlign w:val="center"/>
          </w:tcPr>
          <w:p w14:paraId="31F8F881">
            <w:pPr>
              <w:keepNext w:val="0"/>
              <w:keepLines w:val="0"/>
              <w:widowControl/>
              <w:suppressLineNumbers w:val="0"/>
              <w:jc w:val="center"/>
              <w:textAlignment w:val="center"/>
              <w:rPr>
                <w:rFonts w:ascii="宋体" w:cs="宋体"/>
                <w:color w:val="auto"/>
                <w:kern w:val="0"/>
                <w:sz w:val="20"/>
                <w:szCs w:val="20"/>
              </w:rPr>
            </w:pPr>
            <w:r>
              <w:rPr>
                <w:rFonts w:hint="eastAsia" w:ascii="宋体" w:hAnsi="宋体" w:eastAsia="宋体" w:cs="宋体"/>
                <w:i w:val="0"/>
                <w:iCs w:val="0"/>
                <w:color w:val="auto"/>
                <w:kern w:val="0"/>
                <w:sz w:val="20"/>
                <w:szCs w:val="20"/>
                <w:u w:val="none"/>
                <w:lang w:val="en-US" w:eastAsia="zh-CN" w:bidi="ar"/>
              </w:rPr>
              <w:t>按照下达的通知单要求的时间还款</w:t>
            </w:r>
          </w:p>
        </w:tc>
      </w:tr>
      <w:tr w14:paraId="51AAB5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3" w:hRule="atLeast"/>
          <w:jc w:val="center"/>
        </w:trPr>
        <w:tc>
          <w:tcPr>
            <w:tcW w:w="438" w:type="dxa"/>
            <w:vMerge w:val="continue"/>
            <w:tcBorders>
              <w:tl2br w:val="nil"/>
              <w:tr2bl w:val="nil"/>
            </w:tcBorders>
            <w:vAlign w:val="center"/>
          </w:tcPr>
          <w:p w14:paraId="36C3717C">
            <w:pPr>
              <w:keepNext w:val="0"/>
              <w:keepLines w:val="0"/>
              <w:pageBreakBefore w:val="0"/>
              <w:kinsoku/>
              <w:wordWrap/>
              <w:overflowPunct/>
              <w:topLinePunct w:val="0"/>
              <w:autoSpaceDE/>
              <w:autoSpaceDN/>
              <w:bidi w:val="0"/>
              <w:adjustRightInd/>
              <w:snapToGrid/>
              <w:spacing w:line="240" w:lineRule="auto"/>
              <w:jc w:val="center"/>
              <w:rPr>
                <w:rFonts w:ascii="宋体" w:cs="宋体"/>
                <w:color w:val="auto"/>
                <w:kern w:val="0"/>
                <w:sz w:val="20"/>
                <w:szCs w:val="20"/>
              </w:rPr>
            </w:pPr>
          </w:p>
        </w:tc>
        <w:tc>
          <w:tcPr>
            <w:tcW w:w="723" w:type="dxa"/>
            <w:vMerge w:val="continue"/>
            <w:tcBorders>
              <w:tl2br w:val="nil"/>
              <w:tr2bl w:val="nil"/>
            </w:tcBorders>
            <w:vAlign w:val="center"/>
          </w:tcPr>
          <w:p w14:paraId="74F63002">
            <w:pPr>
              <w:keepNext w:val="0"/>
              <w:keepLines w:val="0"/>
              <w:pageBreakBefore w:val="0"/>
              <w:kinsoku/>
              <w:wordWrap/>
              <w:overflowPunct/>
              <w:topLinePunct w:val="0"/>
              <w:autoSpaceDE/>
              <w:autoSpaceDN/>
              <w:bidi w:val="0"/>
              <w:adjustRightInd/>
              <w:snapToGrid/>
              <w:spacing w:line="240" w:lineRule="auto"/>
              <w:jc w:val="center"/>
              <w:rPr>
                <w:rFonts w:ascii="宋体" w:cs="宋体"/>
                <w:color w:val="auto"/>
                <w:kern w:val="0"/>
                <w:sz w:val="20"/>
                <w:szCs w:val="20"/>
              </w:rPr>
            </w:pPr>
          </w:p>
        </w:tc>
        <w:tc>
          <w:tcPr>
            <w:tcW w:w="759" w:type="dxa"/>
            <w:gridSpan w:val="2"/>
            <w:tcBorders>
              <w:tl2br w:val="nil"/>
              <w:tr2bl w:val="nil"/>
            </w:tcBorders>
            <w:vAlign w:val="center"/>
          </w:tcPr>
          <w:p w14:paraId="45C34546">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ascii="宋体" w:cs="宋体"/>
                <w:color w:val="auto"/>
                <w:kern w:val="0"/>
                <w:sz w:val="20"/>
                <w:szCs w:val="20"/>
              </w:rPr>
            </w:pPr>
            <w:r>
              <w:rPr>
                <w:rFonts w:hint="eastAsia" w:ascii="宋体" w:hAnsi="宋体" w:eastAsia="宋体" w:cs="宋体"/>
                <w:color w:val="auto"/>
                <w:kern w:val="0"/>
                <w:sz w:val="20"/>
                <w:szCs w:val="20"/>
              </w:rPr>
              <w:t>成本指标</w:t>
            </w:r>
          </w:p>
        </w:tc>
        <w:tc>
          <w:tcPr>
            <w:tcW w:w="2872" w:type="dxa"/>
            <w:tcBorders>
              <w:tl2br w:val="nil"/>
              <w:tr2bl w:val="nil"/>
            </w:tcBorders>
            <w:vAlign w:val="center"/>
          </w:tcPr>
          <w:p w14:paraId="3B3C0D15">
            <w:pPr>
              <w:keepNext w:val="0"/>
              <w:keepLines w:val="0"/>
              <w:widowControl/>
              <w:suppressLineNumbers w:val="0"/>
              <w:jc w:val="left"/>
              <w:textAlignment w:val="center"/>
              <w:rPr>
                <w:rFonts w:ascii="宋体" w:cs="宋体"/>
                <w:color w:val="auto"/>
                <w:kern w:val="0"/>
                <w:sz w:val="20"/>
                <w:szCs w:val="20"/>
              </w:rPr>
            </w:pPr>
            <w:r>
              <w:rPr>
                <w:rFonts w:hint="eastAsia" w:ascii="宋体" w:hAnsi="宋体" w:eastAsia="宋体" w:cs="宋体"/>
                <w:i w:val="0"/>
                <w:iCs w:val="0"/>
                <w:color w:val="auto"/>
                <w:kern w:val="0"/>
                <w:sz w:val="20"/>
                <w:szCs w:val="20"/>
                <w:u w:val="none"/>
                <w:lang w:val="en-US" w:eastAsia="zh-CN" w:bidi="ar"/>
              </w:rPr>
              <w:t>指标1：依据省财政厅下达的通知单要求还款</w:t>
            </w:r>
          </w:p>
        </w:tc>
        <w:tc>
          <w:tcPr>
            <w:tcW w:w="4228" w:type="dxa"/>
            <w:gridSpan w:val="2"/>
            <w:tcBorders>
              <w:tl2br w:val="nil"/>
              <w:tr2bl w:val="nil"/>
            </w:tcBorders>
            <w:vAlign w:val="center"/>
          </w:tcPr>
          <w:p w14:paraId="0649C9FA">
            <w:pPr>
              <w:keepNext w:val="0"/>
              <w:keepLines w:val="0"/>
              <w:widowControl/>
              <w:suppressLineNumbers w:val="0"/>
              <w:jc w:val="center"/>
              <w:textAlignment w:val="center"/>
              <w:rPr>
                <w:rFonts w:ascii="宋体" w:cs="宋体"/>
                <w:color w:val="auto"/>
                <w:kern w:val="0"/>
                <w:sz w:val="20"/>
                <w:szCs w:val="20"/>
              </w:rPr>
            </w:pPr>
            <w:r>
              <w:rPr>
                <w:rFonts w:hint="eastAsia" w:ascii="宋体" w:hAnsi="宋体" w:eastAsia="宋体" w:cs="宋体"/>
                <w:i w:val="0"/>
                <w:iCs w:val="0"/>
                <w:color w:val="auto"/>
                <w:kern w:val="0"/>
                <w:sz w:val="20"/>
                <w:szCs w:val="20"/>
                <w:u w:val="none"/>
                <w:lang w:val="en-US" w:eastAsia="zh-CN" w:bidi="ar"/>
              </w:rPr>
              <w:t>按照下达的通知单要求的金额还款</w:t>
            </w:r>
          </w:p>
        </w:tc>
      </w:tr>
      <w:tr w14:paraId="5875ED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3" w:hRule="atLeast"/>
          <w:jc w:val="center"/>
        </w:trPr>
        <w:tc>
          <w:tcPr>
            <w:tcW w:w="438" w:type="dxa"/>
            <w:vMerge w:val="continue"/>
            <w:tcBorders>
              <w:tl2br w:val="nil"/>
              <w:tr2bl w:val="nil"/>
            </w:tcBorders>
            <w:vAlign w:val="center"/>
          </w:tcPr>
          <w:p w14:paraId="44BC3273">
            <w:pPr>
              <w:keepNext w:val="0"/>
              <w:keepLines w:val="0"/>
              <w:pageBreakBefore w:val="0"/>
              <w:kinsoku/>
              <w:wordWrap/>
              <w:overflowPunct/>
              <w:topLinePunct w:val="0"/>
              <w:autoSpaceDE/>
              <w:autoSpaceDN/>
              <w:bidi w:val="0"/>
              <w:adjustRightInd/>
              <w:snapToGrid/>
              <w:spacing w:line="240" w:lineRule="auto"/>
              <w:jc w:val="center"/>
              <w:rPr>
                <w:rFonts w:ascii="宋体" w:cs="宋体"/>
                <w:color w:val="auto"/>
                <w:kern w:val="0"/>
                <w:sz w:val="20"/>
                <w:szCs w:val="20"/>
              </w:rPr>
            </w:pPr>
          </w:p>
        </w:tc>
        <w:tc>
          <w:tcPr>
            <w:tcW w:w="723" w:type="dxa"/>
            <w:vMerge w:val="restart"/>
            <w:tcBorders>
              <w:tl2br w:val="nil"/>
              <w:tr2bl w:val="nil"/>
            </w:tcBorders>
            <w:vAlign w:val="center"/>
          </w:tcPr>
          <w:p w14:paraId="4ADED0EB">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ascii="宋体" w:cs="宋体"/>
                <w:color w:val="auto"/>
                <w:kern w:val="0"/>
                <w:sz w:val="20"/>
                <w:szCs w:val="20"/>
              </w:rPr>
            </w:pPr>
            <w:r>
              <w:rPr>
                <w:rFonts w:hint="eastAsia" w:ascii="宋体" w:hAnsi="宋体" w:eastAsia="宋体" w:cs="宋体"/>
                <w:color w:val="auto"/>
                <w:kern w:val="0"/>
                <w:sz w:val="20"/>
                <w:szCs w:val="20"/>
              </w:rPr>
              <w:t>效益指标</w:t>
            </w:r>
          </w:p>
        </w:tc>
        <w:tc>
          <w:tcPr>
            <w:tcW w:w="759" w:type="dxa"/>
            <w:gridSpan w:val="2"/>
            <w:tcBorders>
              <w:tl2br w:val="nil"/>
              <w:tr2bl w:val="nil"/>
            </w:tcBorders>
            <w:vAlign w:val="center"/>
          </w:tcPr>
          <w:p w14:paraId="1BDA6B0C">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ascii="宋体" w:cs="宋体"/>
                <w:color w:val="auto"/>
                <w:kern w:val="0"/>
                <w:sz w:val="20"/>
                <w:szCs w:val="20"/>
              </w:rPr>
            </w:pPr>
            <w:r>
              <w:rPr>
                <w:rFonts w:hint="eastAsia" w:ascii="宋体" w:hAnsi="宋体" w:eastAsia="宋体" w:cs="宋体"/>
                <w:color w:val="auto"/>
                <w:kern w:val="0"/>
                <w:sz w:val="20"/>
                <w:szCs w:val="20"/>
              </w:rPr>
              <w:t>经济效益指标</w:t>
            </w:r>
          </w:p>
        </w:tc>
        <w:tc>
          <w:tcPr>
            <w:tcW w:w="2872" w:type="dxa"/>
            <w:tcBorders>
              <w:tl2br w:val="nil"/>
              <w:tr2bl w:val="nil"/>
            </w:tcBorders>
            <w:vAlign w:val="center"/>
          </w:tcPr>
          <w:p w14:paraId="3347DAAD">
            <w:pPr>
              <w:keepNext w:val="0"/>
              <w:keepLines w:val="0"/>
              <w:widowControl/>
              <w:suppressLineNumbers w:val="0"/>
              <w:jc w:val="left"/>
              <w:textAlignment w:val="center"/>
              <w:rPr>
                <w:rFonts w:ascii="宋体" w:cs="宋体"/>
                <w:color w:val="auto"/>
                <w:kern w:val="0"/>
                <w:sz w:val="20"/>
                <w:szCs w:val="20"/>
              </w:rPr>
            </w:pPr>
            <w:r>
              <w:rPr>
                <w:rFonts w:hint="eastAsia" w:ascii="宋体" w:hAnsi="宋体" w:eastAsia="宋体" w:cs="宋体"/>
                <w:i w:val="0"/>
                <w:iCs w:val="0"/>
                <w:color w:val="auto"/>
                <w:kern w:val="0"/>
                <w:sz w:val="20"/>
                <w:szCs w:val="20"/>
                <w:u w:val="none"/>
                <w:lang w:val="en-US" w:eastAsia="zh-CN" w:bidi="ar"/>
              </w:rPr>
              <w:t>指标1：促进我市经济发展</w:t>
            </w:r>
          </w:p>
        </w:tc>
        <w:tc>
          <w:tcPr>
            <w:tcW w:w="4228" w:type="dxa"/>
            <w:gridSpan w:val="2"/>
            <w:tcBorders>
              <w:tl2br w:val="nil"/>
              <w:tr2bl w:val="nil"/>
            </w:tcBorders>
            <w:vAlign w:val="center"/>
          </w:tcPr>
          <w:p w14:paraId="69C5B285">
            <w:pPr>
              <w:keepNext w:val="0"/>
              <w:keepLines w:val="0"/>
              <w:widowControl/>
              <w:suppressLineNumbers w:val="0"/>
              <w:jc w:val="center"/>
              <w:textAlignment w:val="center"/>
              <w:rPr>
                <w:rFonts w:hint="eastAsia" w:ascii="宋体" w:cs="宋体" w:eastAsiaTheme="minorEastAsia"/>
                <w:color w:val="auto"/>
                <w:kern w:val="0"/>
                <w:sz w:val="20"/>
                <w:szCs w:val="20"/>
                <w:lang w:val="en-US" w:eastAsia="zh-CN"/>
              </w:rPr>
            </w:pPr>
            <w:r>
              <w:rPr>
                <w:rFonts w:hint="eastAsia" w:ascii="宋体" w:hAnsi="宋体" w:eastAsia="宋体" w:cs="宋体"/>
                <w:i w:val="0"/>
                <w:iCs w:val="0"/>
                <w:color w:val="auto"/>
                <w:kern w:val="0"/>
                <w:sz w:val="20"/>
                <w:szCs w:val="20"/>
                <w:u w:val="none"/>
                <w:lang w:val="en-US" w:eastAsia="zh-CN" w:bidi="ar"/>
              </w:rPr>
              <w:t>不断提高</w:t>
            </w:r>
          </w:p>
        </w:tc>
      </w:tr>
      <w:tr w14:paraId="306905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3" w:hRule="atLeast"/>
          <w:jc w:val="center"/>
        </w:trPr>
        <w:tc>
          <w:tcPr>
            <w:tcW w:w="438" w:type="dxa"/>
            <w:vMerge w:val="continue"/>
            <w:tcBorders>
              <w:tl2br w:val="nil"/>
              <w:tr2bl w:val="nil"/>
            </w:tcBorders>
            <w:vAlign w:val="center"/>
          </w:tcPr>
          <w:p w14:paraId="4D0CBE75">
            <w:pPr>
              <w:keepNext w:val="0"/>
              <w:keepLines w:val="0"/>
              <w:pageBreakBefore w:val="0"/>
              <w:kinsoku/>
              <w:wordWrap/>
              <w:overflowPunct/>
              <w:topLinePunct w:val="0"/>
              <w:autoSpaceDE/>
              <w:autoSpaceDN/>
              <w:bidi w:val="0"/>
              <w:adjustRightInd/>
              <w:snapToGrid/>
              <w:spacing w:line="240" w:lineRule="auto"/>
              <w:jc w:val="center"/>
              <w:rPr>
                <w:rFonts w:ascii="宋体" w:cs="宋体"/>
                <w:color w:val="auto"/>
                <w:kern w:val="0"/>
                <w:sz w:val="20"/>
                <w:szCs w:val="20"/>
              </w:rPr>
            </w:pPr>
          </w:p>
        </w:tc>
        <w:tc>
          <w:tcPr>
            <w:tcW w:w="723" w:type="dxa"/>
            <w:vMerge w:val="continue"/>
            <w:tcBorders>
              <w:tl2br w:val="nil"/>
              <w:tr2bl w:val="nil"/>
            </w:tcBorders>
            <w:vAlign w:val="center"/>
          </w:tcPr>
          <w:p w14:paraId="630BEED5">
            <w:pPr>
              <w:keepNext w:val="0"/>
              <w:keepLines w:val="0"/>
              <w:pageBreakBefore w:val="0"/>
              <w:kinsoku/>
              <w:wordWrap/>
              <w:overflowPunct/>
              <w:topLinePunct w:val="0"/>
              <w:autoSpaceDE/>
              <w:autoSpaceDN/>
              <w:bidi w:val="0"/>
              <w:adjustRightInd/>
              <w:snapToGrid/>
              <w:spacing w:line="240" w:lineRule="auto"/>
              <w:jc w:val="center"/>
              <w:rPr>
                <w:rFonts w:ascii="宋体" w:cs="宋体"/>
                <w:color w:val="auto"/>
                <w:kern w:val="0"/>
                <w:sz w:val="20"/>
                <w:szCs w:val="20"/>
              </w:rPr>
            </w:pPr>
          </w:p>
        </w:tc>
        <w:tc>
          <w:tcPr>
            <w:tcW w:w="759" w:type="dxa"/>
            <w:gridSpan w:val="2"/>
            <w:tcBorders>
              <w:tl2br w:val="nil"/>
              <w:tr2bl w:val="nil"/>
            </w:tcBorders>
            <w:vAlign w:val="center"/>
          </w:tcPr>
          <w:p w14:paraId="3D35D243">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ascii="宋体" w:cs="宋体"/>
                <w:color w:val="auto"/>
                <w:kern w:val="0"/>
                <w:sz w:val="20"/>
                <w:szCs w:val="20"/>
              </w:rPr>
            </w:pPr>
            <w:r>
              <w:rPr>
                <w:rFonts w:hint="eastAsia" w:ascii="宋体" w:hAnsi="宋体" w:eastAsia="宋体" w:cs="宋体"/>
                <w:color w:val="auto"/>
                <w:kern w:val="0"/>
                <w:sz w:val="20"/>
                <w:szCs w:val="20"/>
              </w:rPr>
              <w:t>社会效益指标</w:t>
            </w:r>
          </w:p>
        </w:tc>
        <w:tc>
          <w:tcPr>
            <w:tcW w:w="2872" w:type="dxa"/>
            <w:tcBorders>
              <w:tl2br w:val="nil"/>
              <w:tr2bl w:val="nil"/>
            </w:tcBorders>
            <w:vAlign w:val="center"/>
          </w:tcPr>
          <w:p w14:paraId="1611A9CD">
            <w:pPr>
              <w:keepNext w:val="0"/>
              <w:keepLines w:val="0"/>
              <w:widowControl/>
              <w:suppressLineNumbers w:val="0"/>
              <w:jc w:val="left"/>
              <w:textAlignment w:val="center"/>
              <w:rPr>
                <w:rFonts w:ascii="宋体" w:cs="宋体"/>
                <w:color w:val="auto"/>
                <w:kern w:val="0"/>
                <w:sz w:val="20"/>
                <w:szCs w:val="20"/>
              </w:rPr>
            </w:pPr>
            <w:r>
              <w:rPr>
                <w:rFonts w:hint="eastAsia" w:ascii="宋体" w:hAnsi="宋体" w:eastAsia="宋体" w:cs="宋体"/>
                <w:i w:val="0"/>
                <w:iCs w:val="0"/>
                <w:color w:val="auto"/>
                <w:kern w:val="0"/>
                <w:sz w:val="20"/>
                <w:szCs w:val="20"/>
                <w:u w:val="none"/>
                <w:lang w:val="en-US" w:eastAsia="zh-CN" w:bidi="ar"/>
              </w:rPr>
              <w:t>指标1：提高我市应对重大疾病和突发性公共卫生事件的防御能力</w:t>
            </w:r>
          </w:p>
        </w:tc>
        <w:tc>
          <w:tcPr>
            <w:tcW w:w="4228" w:type="dxa"/>
            <w:gridSpan w:val="2"/>
            <w:tcBorders>
              <w:tl2br w:val="nil"/>
              <w:tr2bl w:val="nil"/>
            </w:tcBorders>
            <w:vAlign w:val="center"/>
          </w:tcPr>
          <w:p w14:paraId="4CBE4C86">
            <w:pPr>
              <w:keepNext w:val="0"/>
              <w:keepLines w:val="0"/>
              <w:widowControl/>
              <w:suppressLineNumbers w:val="0"/>
              <w:jc w:val="center"/>
              <w:textAlignment w:val="center"/>
              <w:rPr>
                <w:rFonts w:hint="default" w:ascii="宋体" w:cs="宋体" w:eastAsiaTheme="minorEastAsia"/>
                <w:color w:val="auto"/>
                <w:kern w:val="0"/>
                <w:sz w:val="20"/>
                <w:szCs w:val="20"/>
                <w:lang w:val="en-US" w:eastAsia="zh-CN"/>
              </w:rPr>
            </w:pPr>
            <w:r>
              <w:rPr>
                <w:rFonts w:hint="eastAsia" w:ascii="宋体" w:hAnsi="宋体" w:eastAsia="宋体" w:cs="宋体"/>
                <w:i w:val="0"/>
                <w:iCs w:val="0"/>
                <w:color w:val="auto"/>
                <w:kern w:val="0"/>
                <w:sz w:val="20"/>
                <w:szCs w:val="20"/>
                <w:u w:val="none"/>
                <w:lang w:val="en-US" w:eastAsia="zh-CN" w:bidi="ar"/>
              </w:rPr>
              <w:t>不断提高</w:t>
            </w:r>
          </w:p>
        </w:tc>
      </w:tr>
      <w:tr w14:paraId="20089A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3" w:hRule="atLeast"/>
          <w:jc w:val="center"/>
        </w:trPr>
        <w:tc>
          <w:tcPr>
            <w:tcW w:w="438" w:type="dxa"/>
            <w:vMerge w:val="continue"/>
            <w:tcBorders>
              <w:tl2br w:val="nil"/>
              <w:tr2bl w:val="nil"/>
            </w:tcBorders>
            <w:vAlign w:val="center"/>
          </w:tcPr>
          <w:p w14:paraId="726ECACE">
            <w:pPr>
              <w:keepNext w:val="0"/>
              <w:keepLines w:val="0"/>
              <w:pageBreakBefore w:val="0"/>
              <w:kinsoku/>
              <w:wordWrap/>
              <w:overflowPunct/>
              <w:topLinePunct w:val="0"/>
              <w:autoSpaceDE/>
              <w:autoSpaceDN/>
              <w:bidi w:val="0"/>
              <w:adjustRightInd/>
              <w:snapToGrid/>
              <w:spacing w:line="240" w:lineRule="auto"/>
              <w:jc w:val="center"/>
              <w:rPr>
                <w:rFonts w:ascii="宋体" w:cs="宋体"/>
                <w:color w:val="auto"/>
                <w:kern w:val="0"/>
                <w:sz w:val="20"/>
                <w:szCs w:val="20"/>
              </w:rPr>
            </w:pPr>
          </w:p>
        </w:tc>
        <w:tc>
          <w:tcPr>
            <w:tcW w:w="723" w:type="dxa"/>
            <w:vMerge w:val="continue"/>
            <w:tcBorders>
              <w:tl2br w:val="nil"/>
              <w:tr2bl w:val="nil"/>
            </w:tcBorders>
            <w:vAlign w:val="center"/>
          </w:tcPr>
          <w:p w14:paraId="7CAC961E">
            <w:pPr>
              <w:keepNext w:val="0"/>
              <w:keepLines w:val="0"/>
              <w:pageBreakBefore w:val="0"/>
              <w:kinsoku/>
              <w:wordWrap/>
              <w:overflowPunct/>
              <w:topLinePunct w:val="0"/>
              <w:autoSpaceDE/>
              <w:autoSpaceDN/>
              <w:bidi w:val="0"/>
              <w:adjustRightInd/>
              <w:snapToGrid/>
              <w:spacing w:line="240" w:lineRule="auto"/>
              <w:jc w:val="center"/>
              <w:rPr>
                <w:rFonts w:ascii="宋体" w:cs="宋体"/>
                <w:color w:val="auto"/>
                <w:kern w:val="0"/>
                <w:sz w:val="20"/>
                <w:szCs w:val="20"/>
              </w:rPr>
            </w:pPr>
          </w:p>
        </w:tc>
        <w:tc>
          <w:tcPr>
            <w:tcW w:w="759" w:type="dxa"/>
            <w:gridSpan w:val="2"/>
            <w:tcBorders>
              <w:tl2br w:val="nil"/>
              <w:tr2bl w:val="nil"/>
            </w:tcBorders>
            <w:vAlign w:val="center"/>
          </w:tcPr>
          <w:p w14:paraId="3D773D45">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ascii="宋体" w:cs="宋体"/>
                <w:color w:val="auto"/>
                <w:kern w:val="0"/>
                <w:sz w:val="20"/>
                <w:szCs w:val="20"/>
              </w:rPr>
            </w:pPr>
            <w:r>
              <w:rPr>
                <w:rFonts w:hint="eastAsia" w:ascii="宋体" w:hAnsi="宋体" w:eastAsia="宋体" w:cs="宋体"/>
                <w:color w:val="auto"/>
                <w:kern w:val="0"/>
                <w:sz w:val="20"/>
                <w:szCs w:val="20"/>
              </w:rPr>
              <w:t>生态效益指标</w:t>
            </w:r>
          </w:p>
        </w:tc>
        <w:tc>
          <w:tcPr>
            <w:tcW w:w="2872" w:type="dxa"/>
            <w:tcBorders>
              <w:tl2br w:val="nil"/>
              <w:tr2bl w:val="nil"/>
            </w:tcBorders>
            <w:vAlign w:val="center"/>
          </w:tcPr>
          <w:p w14:paraId="760274AB">
            <w:pPr>
              <w:keepNext w:val="0"/>
              <w:keepLines w:val="0"/>
              <w:widowControl/>
              <w:suppressLineNumbers w:val="0"/>
              <w:jc w:val="left"/>
              <w:textAlignment w:val="center"/>
              <w:rPr>
                <w:rFonts w:ascii="宋体" w:cs="宋体"/>
                <w:color w:val="auto"/>
                <w:kern w:val="0"/>
                <w:sz w:val="20"/>
                <w:szCs w:val="20"/>
              </w:rPr>
            </w:pPr>
            <w:r>
              <w:rPr>
                <w:rFonts w:hint="eastAsia" w:ascii="宋体" w:hAnsi="宋体" w:eastAsia="宋体" w:cs="宋体"/>
                <w:i w:val="0"/>
                <w:iCs w:val="0"/>
                <w:color w:val="auto"/>
                <w:kern w:val="0"/>
                <w:sz w:val="20"/>
                <w:szCs w:val="20"/>
                <w:u w:val="none"/>
                <w:lang w:val="en-US" w:eastAsia="zh-CN" w:bidi="ar"/>
              </w:rPr>
              <w:t>指标1：美化我市生态环境</w:t>
            </w:r>
          </w:p>
        </w:tc>
        <w:tc>
          <w:tcPr>
            <w:tcW w:w="4228" w:type="dxa"/>
            <w:gridSpan w:val="2"/>
            <w:tcBorders>
              <w:tl2br w:val="nil"/>
              <w:tr2bl w:val="nil"/>
            </w:tcBorders>
            <w:vAlign w:val="center"/>
          </w:tcPr>
          <w:p w14:paraId="4AA97276">
            <w:pPr>
              <w:keepNext w:val="0"/>
              <w:keepLines w:val="0"/>
              <w:widowControl/>
              <w:suppressLineNumbers w:val="0"/>
              <w:jc w:val="center"/>
              <w:textAlignment w:val="center"/>
              <w:rPr>
                <w:rFonts w:ascii="宋体" w:cs="宋体"/>
                <w:color w:val="auto"/>
                <w:kern w:val="0"/>
                <w:sz w:val="20"/>
                <w:szCs w:val="20"/>
              </w:rPr>
            </w:pPr>
            <w:r>
              <w:rPr>
                <w:rFonts w:hint="eastAsia" w:ascii="宋体" w:hAnsi="宋体" w:eastAsia="宋体" w:cs="宋体"/>
                <w:i w:val="0"/>
                <w:iCs w:val="0"/>
                <w:color w:val="auto"/>
                <w:kern w:val="0"/>
                <w:sz w:val="20"/>
                <w:szCs w:val="20"/>
                <w:u w:val="none"/>
                <w:lang w:val="en-US" w:eastAsia="zh-CN" w:bidi="ar"/>
              </w:rPr>
              <w:t>不断提高</w:t>
            </w:r>
          </w:p>
        </w:tc>
      </w:tr>
      <w:tr w14:paraId="6FD894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jc w:val="center"/>
        </w:trPr>
        <w:tc>
          <w:tcPr>
            <w:tcW w:w="438" w:type="dxa"/>
            <w:vMerge w:val="continue"/>
            <w:tcBorders>
              <w:tl2br w:val="nil"/>
              <w:tr2bl w:val="nil"/>
            </w:tcBorders>
            <w:vAlign w:val="center"/>
          </w:tcPr>
          <w:p w14:paraId="65DB41A8">
            <w:pPr>
              <w:keepNext w:val="0"/>
              <w:keepLines w:val="0"/>
              <w:pageBreakBefore w:val="0"/>
              <w:kinsoku/>
              <w:wordWrap/>
              <w:overflowPunct/>
              <w:topLinePunct w:val="0"/>
              <w:autoSpaceDE/>
              <w:autoSpaceDN/>
              <w:bidi w:val="0"/>
              <w:adjustRightInd/>
              <w:snapToGrid/>
              <w:spacing w:line="240" w:lineRule="auto"/>
              <w:jc w:val="center"/>
              <w:rPr>
                <w:rFonts w:ascii="宋体" w:cs="宋体"/>
                <w:color w:val="auto"/>
                <w:kern w:val="0"/>
                <w:sz w:val="20"/>
                <w:szCs w:val="20"/>
              </w:rPr>
            </w:pPr>
          </w:p>
        </w:tc>
        <w:tc>
          <w:tcPr>
            <w:tcW w:w="723" w:type="dxa"/>
            <w:vMerge w:val="continue"/>
            <w:tcBorders>
              <w:tl2br w:val="nil"/>
              <w:tr2bl w:val="nil"/>
            </w:tcBorders>
            <w:vAlign w:val="center"/>
          </w:tcPr>
          <w:p w14:paraId="62F04424">
            <w:pPr>
              <w:keepNext w:val="0"/>
              <w:keepLines w:val="0"/>
              <w:pageBreakBefore w:val="0"/>
              <w:kinsoku/>
              <w:wordWrap/>
              <w:overflowPunct/>
              <w:topLinePunct w:val="0"/>
              <w:autoSpaceDE/>
              <w:autoSpaceDN/>
              <w:bidi w:val="0"/>
              <w:adjustRightInd/>
              <w:snapToGrid/>
              <w:spacing w:line="240" w:lineRule="auto"/>
              <w:jc w:val="center"/>
              <w:rPr>
                <w:rFonts w:ascii="宋体" w:cs="宋体"/>
                <w:color w:val="auto"/>
                <w:kern w:val="0"/>
                <w:sz w:val="20"/>
                <w:szCs w:val="20"/>
              </w:rPr>
            </w:pPr>
          </w:p>
        </w:tc>
        <w:tc>
          <w:tcPr>
            <w:tcW w:w="759" w:type="dxa"/>
            <w:gridSpan w:val="2"/>
            <w:tcBorders>
              <w:tl2br w:val="nil"/>
              <w:tr2bl w:val="nil"/>
            </w:tcBorders>
            <w:vAlign w:val="center"/>
          </w:tcPr>
          <w:p w14:paraId="15A51F5B">
            <w:pPr>
              <w:keepNext w:val="0"/>
              <w:keepLines w:val="0"/>
              <w:pageBreakBefore w:val="0"/>
              <w:widowControl/>
              <w:kinsoku/>
              <w:wordWrap/>
              <w:overflowPunct/>
              <w:topLinePunct w:val="0"/>
              <w:autoSpaceDE/>
              <w:autoSpaceDN/>
              <w:bidi w:val="0"/>
              <w:adjustRightInd/>
              <w:snapToGrid/>
              <w:spacing w:line="240" w:lineRule="auto"/>
              <w:jc w:val="center"/>
              <w:rPr>
                <w:rFonts w:ascii="宋体" w:hAnsi="宋体" w:eastAsia="宋体" w:cs="宋体"/>
                <w:color w:val="auto"/>
                <w:kern w:val="0"/>
                <w:sz w:val="20"/>
                <w:szCs w:val="20"/>
              </w:rPr>
            </w:pPr>
            <w:r>
              <w:rPr>
                <w:rFonts w:hint="eastAsia" w:ascii="宋体" w:hAnsi="宋体" w:eastAsia="宋体" w:cs="宋体"/>
                <w:color w:val="auto"/>
                <w:kern w:val="0"/>
                <w:sz w:val="20"/>
                <w:szCs w:val="20"/>
              </w:rPr>
              <w:t>可持续影响指标</w:t>
            </w:r>
          </w:p>
        </w:tc>
        <w:tc>
          <w:tcPr>
            <w:tcW w:w="2872" w:type="dxa"/>
            <w:tcBorders>
              <w:tl2br w:val="nil"/>
              <w:tr2bl w:val="nil"/>
            </w:tcBorders>
            <w:vAlign w:val="center"/>
          </w:tcPr>
          <w:p w14:paraId="6715A06C">
            <w:pPr>
              <w:keepNext w:val="0"/>
              <w:keepLines w:val="0"/>
              <w:widowControl/>
              <w:suppressLineNumbers w:val="0"/>
              <w:jc w:val="left"/>
              <w:textAlignment w:val="center"/>
              <w:rPr>
                <w:rFonts w:ascii="宋体" w:hAnsi="宋体" w:eastAsia="宋体" w:cs="宋体"/>
                <w:color w:val="auto"/>
                <w:kern w:val="0"/>
                <w:sz w:val="20"/>
                <w:szCs w:val="20"/>
              </w:rPr>
            </w:pPr>
            <w:r>
              <w:rPr>
                <w:rFonts w:hint="eastAsia" w:ascii="宋体" w:hAnsi="宋体" w:eastAsia="宋体" w:cs="宋体"/>
                <w:i w:val="0"/>
                <w:iCs w:val="0"/>
                <w:color w:val="auto"/>
                <w:kern w:val="0"/>
                <w:sz w:val="20"/>
                <w:szCs w:val="20"/>
                <w:u w:val="none"/>
                <w:lang w:val="en-US" w:eastAsia="zh-CN" w:bidi="ar"/>
              </w:rPr>
              <w:t>指标1：保障我市人民群众身体健康</w:t>
            </w:r>
          </w:p>
        </w:tc>
        <w:tc>
          <w:tcPr>
            <w:tcW w:w="4228" w:type="dxa"/>
            <w:gridSpan w:val="2"/>
            <w:tcBorders>
              <w:tl2br w:val="nil"/>
              <w:tr2bl w:val="nil"/>
            </w:tcBorders>
            <w:vAlign w:val="center"/>
          </w:tcPr>
          <w:p w14:paraId="773EE210">
            <w:pPr>
              <w:keepNext w:val="0"/>
              <w:keepLines w:val="0"/>
              <w:widowControl/>
              <w:suppressLineNumbers w:val="0"/>
              <w:jc w:val="center"/>
              <w:textAlignment w:val="center"/>
              <w:rPr>
                <w:rFonts w:ascii="宋体" w:cs="宋体"/>
                <w:color w:val="auto"/>
                <w:kern w:val="0"/>
                <w:sz w:val="20"/>
                <w:szCs w:val="20"/>
              </w:rPr>
            </w:pPr>
            <w:r>
              <w:rPr>
                <w:rFonts w:hint="eastAsia" w:ascii="宋体" w:hAnsi="宋体" w:eastAsia="宋体" w:cs="宋体"/>
                <w:i w:val="0"/>
                <w:iCs w:val="0"/>
                <w:color w:val="auto"/>
                <w:kern w:val="0"/>
                <w:sz w:val="20"/>
                <w:szCs w:val="20"/>
                <w:u w:val="none"/>
                <w:lang w:val="en-US" w:eastAsia="zh-CN" w:bidi="ar"/>
              </w:rPr>
              <w:t>不断提高</w:t>
            </w:r>
          </w:p>
        </w:tc>
      </w:tr>
      <w:tr w14:paraId="3E253F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3" w:hRule="atLeast"/>
          <w:jc w:val="center"/>
        </w:trPr>
        <w:tc>
          <w:tcPr>
            <w:tcW w:w="438" w:type="dxa"/>
            <w:vMerge w:val="continue"/>
            <w:tcBorders>
              <w:tl2br w:val="nil"/>
              <w:tr2bl w:val="nil"/>
            </w:tcBorders>
            <w:vAlign w:val="center"/>
          </w:tcPr>
          <w:p w14:paraId="7CACF609">
            <w:pPr>
              <w:keepNext w:val="0"/>
              <w:keepLines w:val="0"/>
              <w:pageBreakBefore w:val="0"/>
              <w:kinsoku/>
              <w:wordWrap/>
              <w:overflowPunct/>
              <w:topLinePunct w:val="0"/>
              <w:autoSpaceDE/>
              <w:autoSpaceDN/>
              <w:bidi w:val="0"/>
              <w:adjustRightInd/>
              <w:snapToGrid/>
              <w:spacing w:line="240" w:lineRule="auto"/>
              <w:jc w:val="center"/>
              <w:rPr>
                <w:rFonts w:ascii="宋体" w:cs="宋体"/>
                <w:color w:val="auto"/>
                <w:kern w:val="0"/>
                <w:sz w:val="20"/>
                <w:szCs w:val="20"/>
              </w:rPr>
            </w:pPr>
          </w:p>
        </w:tc>
        <w:tc>
          <w:tcPr>
            <w:tcW w:w="723" w:type="dxa"/>
            <w:tcBorders>
              <w:tl2br w:val="nil"/>
              <w:tr2bl w:val="nil"/>
            </w:tcBorders>
            <w:vAlign w:val="center"/>
          </w:tcPr>
          <w:p w14:paraId="798146EE">
            <w:pPr>
              <w:keepNext w:val="0"/>
              <w:keepLines w:val="0"/>
              <w:pageBreakBefore w:val="0"/>
              <w:widowControl/>
              <w:kinsoku/>
              <w:wordWrap/>
              <w:overflowPunct/>
              <w:topLinePunct w:val="0"/>
              <w:autoSpaceDE/>
              <w:autoSpaceDN/>
              <w:bidi w:val="0"/>
              <w:adjustRightInd/>
              <w:snapToGrid/>
              <w:spacing w:line="240" w:lineRule="auto"/>
              <w:jc w:val="center"/>
              <w:rPr>
                <w:rFonts w:ascii="宋体" w:hAnsi="宋体" w:eastAsia="宋体" w:cs="宋体"/>
                <w:color w:val="auto"/>
                <w:kern w:val="0"/>
                <w:sz w:val="20"/>
                <w:szCs w:val="20"/>
              </w:rPr>
            </w:pPr>
            <w:r>
              <w:rPr>
                <w:rFonts w:hint="eastAsia" w:ascii="宋体" w:hAnsi="宋体" w:eastAsia="宋体" w:cs="宋体"/>
                <w:color w:val="auto"/>
                <w:kern w:val="0"/>
                <w:sz w:val="20"/>
                <w:szCs w:val="20"/>
              </w:rPr>
              <w:t>满意度指标</w:t>
            </w:r>
          </w:p>
        </w:tc>
        <w:tc>
          <w:tcPr>
            <w:tcW w:w="759" w:type="dxa"/>
            <w:gridSpan w:val="2"/>
            <w:tcBorders>
              <w:tl2br w:val="nil"/>
              <w:tr2bl w:val="nil"/>
            </w:tcBorders>
            <w:vAlign w:val="center"/>
          </w:tcPr>
          <w:p w14:paraId="48969850">
            <w:pPr>
              <w:keepNext w:val="0"/>
              <w:keepLines w:val="0"/>
              <w:pageBreakBefore w:val="0"/>
              <w:widowControl/>
              <w:kinsoku/>
              <w:wordWrap/>
              <w:overflowPunct/>
              <w:topLinePunct w:val="0"/>
              <w:autoSpaceDE/>
              <w:autoSpaceDN/>
              <w:bidi w:val="0"/>
              <w:adjustRightInd/>
              <w:snapToGrid/>
              <w:spacing w:line="240" w:lineRule="auto"/>
              <w:jc w:val="center"/>
              <w:rPr>
                <w:rFonts w:ascii="宋体" w:hAnsi="宋体" w:eastAsia="宋体" w:cs="宋体"/>
                <w:color w:val="auto"/>
                <w:kern w:val="0"/>
                <w:sz w:val="20"/>
                <w:szCs w:val="20"/>
              </w:rPr>
            </w:pPr>
            <w:r>
              <w:rPr>
                <w:rFonts w:hint="eastAsia" w:ascii="宋体" w:hAnsi="宋体" w:eastAsia="宋体" w:cs="宋体"/>
                <w:color w:val="auto"/>
                <w:kern w:val="0"/>
                <w:sz w:val="20"/>
                <w:szCs w:val="20"/>
              </w:rPr>
              <w:t>满意度指标</w:t>
            </w:r>
          </w:p>
        </w:tc>
        <w:tc>
          <w:tcPr>
            <w:tcW w:w="2872" w:type="dxa"/>
            <w:tcBorders>
              <w:tl2br w:val="nil"/>
              <w:tr2bl w:val="nil"/>
            </w:tcBorders>
            <w:vAlign w:val="center"/>
          </w:tcPr>
          <w:p w14:paraId="2FDC8A77">
            <w:pPr>
              <w:keepNext w:val="0"/>
              <w:keepLines w:val="0"/>
              <w:widowControl/>
              <w:suppressLineNumbers w:val="0"/>
              <w:jc w:val="left"/>
              <w:textAlignment w:val="center"/>
              <w:rPr>
                <w:rFonts w:ascii="宋体" w:hAnsi="宋体" w:eastAsia="宋体" w:cs="宋体"/>
                <w:color w:val="auto"/>
                <w:kern w:val="0"/>
                <w:sz w:val="20"/>
                <w:szCs w:val="20"/>
              </w:rPr>
            </w:pPr>
            <w:r>
              <w:rPr>
                <w:rFonts w:hint="eastAsia" w:ascii="宋体" w:hAnsi="宋体" w:eastAsia="宋体" w:cs="宋体"/>
                <w:i w:val="0"/>
                <w:iCs w:val="0"/>
                <w:color w:val="auto"/>
                <w:kern w:val="0"/>
                <w:sz w:val="20"/>
                <w:szCs w:val="20"/>
                <w:u w:val="none"/>
                <w:lang w:val="en-US" w:eastAsia="zh-CN" w:bidi="ar"/>
              </w:rPr>
              <w:t>指标1：服务对象满意度</w:t>
            </w:r>
          </w:p>
        </w:tc>
        <w:tc>
          <w:tcPr>
            <w:tcW w:w="4228" w:type="dxa"/>
            <w:gridSpan w:val="2"/>
            <w:tcBorders>
              <w:tl2br w:val="nil"/>
              <w:tr2bl w:val="nil"/>
            </w:tcBorders>
            <w:vAlign w:val="center"/>
          </w:tcPr>
          <w:p w14:paraId="508F5092">
            <w:pPr>
              <w:keepNext w:val="0"/>
              <w:keepLines w:val="0"/>
              <w:widowControl/>
              <w:suppressLineNumbers w:val="0"/>
              <w:jc w:val="center"/>
              <w:textAlignment w:val="center"/>
              <w:rPr>
                <w:rFonts w:ascii="宋体" w:cs="宋体"/>
                <w:color w:val="auto"/>
                <w:kern w:val="0"/>
                <w:sz w:val="20"/>
                <w:szCs w:val="20"/>
              </w:rPr>
            </w:pPr>
            <w:r>
              <w:rPr>
                <w:rFonts w:hint="eastAsia" w:ascii="宋体" w:hAnsi="宋体" w:eastAsia="宋体" w:cs="宋体"/>
                <w:i w:val="0"/>
                <w:iCs w:val="0"/>
                <w:color w:val="auto"/>
                <w:kern w:val="0"/>
                <w:sz w:val="20"/>
                <w:szCs w:val="20"/>
                <w:u w:val="none"/>
                <w:lang w:val="en-US" w:eastAsia="zh-CN" w:bidi="ar"/>
              </w:rPr>
              <w:t>满意</w:t>
            </w:r>
          </w:p>
        </w:tc>
      </w:tr>
    </w:tbl>
    <w:p w14:paraId="615C09ED">
      <w:pPr>
        <w:rPr>
          <w:color w:val="auto"/>
        </w:rPr>
      </w:pPr>
    </w:p>
    <w:p w14:paraId="7D87D8BC">
      <w:pPr>
        <w:ind w:firstLine="640" w:firstLineChars="200"/>
        <w:rPr>
          <w:rFonts w:hint="eastAsia" w:ascii="仿宋" w:hAnsi="仿宋" w:eastAsia="仿宋" w:cs="仿宋"/>
          <w:color w:val="auto"/>
          <w:kern w:val="0"/>
          <w:sz w:val="32"/>
          <w:szCs w:val="32"/>
        </w:rPr>
      </w:pPr>
      <w:r>
        <w:rPr>
          <w:rFonts w:hint="eastAsia" w:ascii="仿宋" w:hAnsi="仿宋" w:eastAsia="仿宋" w:cs="仿宋"/>
          <w:color w:val="auto"/>
          <w:kern w:val="0"/>
          <w:sz w:val="32"/>
          <w:szCs w:val="32"/>
          <w:lang w:val="en-US" w:eastAsia="zh-CN"/>
        </w:rPr>
        <w:t>4</w:t>
      </w:r>
      <w:r>
        <w:rPr>
          <w:rFonts w:hint="eastAsia" w:ascii="仿宋" w:hAnsi="仿宋" w:eastAsia="仿宋" w:cs="仿宋"/>
          <w:color w:val="auto"/>
          <w:kern w:val="0"/>
          <w:sz w:val="32"/>
          <w:szCs w:val="32"/>
        </w:rPr>
        <w:t>、“美沙酮门诊项目”项目。</w:t>
      </w:r>
    </w:p>
    <w:p w14:paraId="4D44D5F7">
      <w:pPr>
        <w:ind w:firstLine="640" w:firstLineChars="200"/>
        <w:rPr>
          <w:rFonts w:hint="eastAsia" w:ascii="仿宋" w:hAnsi="仿宋" w:eastAsia="仿宋" w:cs="仿宋"/>
          <w:color w:val="auto"/>
          <w:kern w:val="0"/>
          <w:sz w:val="32"/>
          <w:szCs w:val="32"/>
        </w:rPr>
      </w:pPr>
      <w:r>
        <w:rPr>
          <w:rFonts w:hint="eastAsia" w:ascii="仿宋" w:hAnsi="仿宋" w:eastAsia="仿宋" w:cs="仿宋"/>
          <w:color w:val="auto"/>
          <w:kern w:val="0"/>
          <w:sz w:val="32"/>
          <w:szCs w:val="32"/>
        </w:rPr>
        <w:t>（1）项目概述。美沙酮维持治疗是一种替代治疗方法，它不是传统意义上的“戒毒”，也不是“小毒带大毒”，而是一种治疗方法，如同高血压和糖尿病等一样，需要长期或者终生维持用药。2008年12月卫生部确定我中心门诊为滥用阿片类物质成瘾者社区维持治疗单位，每年美沙酮门诊接待饮用美沙酮的戒毒人员约3000人次。</w:t>
      </w:r>
    </w:p>
    <w:p w14:paraId="1F760EF4">
      <w:pPr>
        <w:ind w:firstLine="640" w:firstLineChars="200"/>
        <w:rPr>
          <w:rFonts w:hint="eastAsia" w:ascii="仿宋" w:hAnsi="仿宋" w:eastAsia="仿宋" w:cs="仿宋"/>
          <w:color w:val="auto"/>
          <w:kern w:val="0"/>
          <w:sz w:val="32"/>
          <w:szCs w:val="32"/>
          <w:lang w:eastAsia="zh-CN"/>
        </w:rPr>
      </w:pPr>
      <w:r>
        <w:rPr>
          <w:rFonts w:hint="eastAsia" w:ascii="仿宋" w:hAnsi="仿宋" w:eastAsia="仿宋" w:cs="仿宋"/>
          <w:color w:val="auto"/>
          <w:kern w:val="0"/>
          <w:sz w:val="32"/>
          <w:szCs w:val="32"/>
        </w:rPr>
        <w:t>（2）立项依据。2008年淮北市人民政府第十一次市长办公会议纪要。</w:t>
      </w:r>
    </w:p>
    <w:p w14:paraId="6422BDFC">
      <w:pPr>
        <w:ind w:firstLine="640" w:firstLineChars="200"/>
        <w:rPr>
          <w:rFonts w:hint="eastAsia" w:ascii="仿宋" w:hAnsi="仿宋" w:eastAsia="仿宋" w:cs="仿宋"/>
          <w:color w:val="auto"/>
          <w:kern w:val="0"/>
          <w:sz w:val="32"/>
          <w:szCs w:val="32"/>
          <w:lang w:eastAsia="zh-CN"/>
        </w:rPr>
      </w:pPr>
      <w:r>
        <w:rPr>
          <w:rFonts w:hint="eastAsia" w:ascii="仿宋" w:hAnsi="仿宋" w:eastAsia="仿宋" w:cs="仿宋"/>
          <w:color w:val="auto"/>
          <w:kern w:val="0"/>
          <w:sz w:val="32"/>
          <w:szCs w:val="32"/>
        </w:rPr>
        <w:t>（3）实施主体。淮北市疾病预防控制中心</w:t>
      </w:r>
      <w:r>
        <w:rPr>
          <w:rFonts w:hint="eastAsia" w:ascii="仿宋" w:hAnsi="仿宋" w:eastAsia="仿宋" w:cs="仿宋"/>
          <w:color w:val="auto"/>
          <w:kern w:val="0"/>
          <w:sz w:val="32"/>
          <w:szCs w:val="32"/>
          <w:lang w:eastAsia="zh-CN"/>
        </w:rPr>
        <w:t>。</w:t>
      </w:r>
    </w:p>
    <w:p w14:paraId="0FDC3BBD">
      <w:pPr>
        <w:ind w:firstLine="640" w:firstLineChars="200"/>
        <w:rPr>
          <w:rFonts w:hint="eastAsia" w:ascii="仿宋" w:hAnsi="仿宋" w:eastAsia="仿宋" w:cs="仿宋"/>
          <w:color w:val="auto"/>
          <w:kern w:val="0"/>
          <w:sz w:val="32"/>
          <w:szCs w:val="32"/>
          <w:lang w:eastAsia="zh-CN"/>
        </w:rPr>
      </w:pPr>
      <w:r>
        <w:rPr>
          <w:rFonts w:hint="eastAsia" w:ascii="仿宋" w:hAnsi="仿宋" w:eastAsia="仿宋" w:cs="仿宋"/>
          <w:color w:val="auto"/>
          <w:kern w:val="0"/>
          <w:sz w:val="32"/>
          <w:szCs w:val="32"/>
        </w:rPr>
        <w:t>（4）起止时间。202</w:t>
      </w:r>
      <w:r>
        <w:rPr>
          <w:rFonts w:hint="eastAsia" w:ascii="仿宋" w:hAnsi="仿宋" w:eastAsia="仿宋" w:cs="仿宋"/>
          <w:color w:val="auto"/>
          <w:kern w:val="0"/>
          <w:sz w:val="32"/>
          <w:szCs w:val="32"/>
          <w:lang w:val="en-US" w:eastAsia="zh-CN"/>
        </w:rPr>
        <w:t>5</w:t>
      </w:r>
      <w:r>
        <w:rPr>
          <w:rFonts w:hint="eastAsia" w:ascii="仿宋" w:hAnsi="仿宋" w:eastAsia="仿宋" w:cs="仿宋"/>
          <w:color w:val="auto"/>
          <w:kern w:val="0"/>
          <w:sz w:val="32"/>
          <w:szCs w:val="32"/>
        </w:rPr>
        <w:t>年1-12月</w:t>
      </w:r>
      <w:r>
        <w:rPr>
          <w:rFonts w:hint="eastAsia" w:ascii="仿宋" w:hAnsi="仿宋" w:eastAsia="仿宋" w:cs="仿宋"/>
          <w:color w:val="auto"/>
          <w:kern w:val="0"/>
          <w:sz w:val="32"/>
          <w:szCs w:val="32"/>
          <w:lang w:eastAsia="zh-CN"/>
        </w:rPr>
        <w:t>。</w:t>
      </w:r>
    </w:p>
    <w:p w14:paraId="4092D723">
      <w:pPr>
        <w:ind w:firstLine="640" w:firstLineChars="200"/>
        <w:rPr>
          <w:rFonts w:hint="eastAsia" w:ascii="仿宋" w:hAnsi="仿宋" w:eastAsia="仿宋" w:cs="仿宋"/>
          <w:color w:val="auto"/>
          <w:kern w:val="0"/>
          <w:sz w:val="32"/>
          <w:szCs w:val="32"/>
        </w:rPr>
      </w:pPr>
      <w:r>
        <w:rPr>
          <w:rFonts w:hint="eastAsia" w:ascii="仿宋" w:hAnsi="仿宋" w:eastAsia="仿宋" w:cs="仿宋"/>
          <w:color w:val="auto"/>
          <w:kern w:val="0"/>
          <w:sz w:val="32"/>
          <w:szCs w:val="32"/>
        </w:rPr>
        <w:t>（5）项目内容。</w:t>
      </w:r>
      <w:r>
        <w:rPr>
          <w:rFonts w:hint="eastAsia" w:ascii="仿宋_GB2312" w:eastAsia="仿宋_GB2312"/>
          <w:color w:val="auto"/>
          <w:sz w:val="32"/>
          <w:szCs w:val="32"/>
        </w:rPr>
        <w:t>美沙酮维持治疗是一种替代治疗方法，它不是传统意义上的“戒毒”，也不是“小毒带大毒”，而是一种治疗方法，如同高血压和糖尿病等一样，需要长期或者终生维持用药。2008年12月卫生部确定我中心门诊为滥用阿片类物质成瘾者社区维持治疗单位。美沙酮门诊药物维持治疗工作不仅是减少吸毒人群中艾滋病传播流行，全面遏制艾滋病蔓延的重要举措,也是探索提高滥用阿片类物质成瘾者戒断巩固率的新路子之一，社会意义重大，市委、市政府高度重视。</w:t>
      </w:r>
    </w:p>
    <w:p w14:paraId="22CDE64E">
      <w:pPr>
        <w:ind w:firstLine="640" w:firstLineChars="200"/>
        <w:rPr>
          <w:rFonts w:hint="eastAsia" w:ascii="仿宋" w:hAnsi="仿宋" w:eastAsia="仿宋" w:cs="仿宋"/>
          <w:color w:val="auto"/>
          <w:kern w:val="0"/>
          <w:sz w:val="32"/>
          <w:szCs w:val="32"/>
          <w:lang w:val="en-US" w:eastAsia="zh-CN"/>
        </w:rPr>
      </w:pPr>
      <w:r>
        <w:rPr>
          <w:rFonts w:hint="eastAsia" w:ascii="仿宋" w:hAnsi="仿宋" w:eastAsia="仿宋" w:cs="仿宋"/>
          <w:color w:val="auto"/>
          <w:kern w:val="0"/>
          <w:sz w:val="32"/>
          <w:szCs w:val="32"/>
        </w:rPr>
        <w:t>（6）年度预算安排。</w:t>
      </w:r>
      <w:r>
        <w:rPr>
          <w:rFonts w:hint="eastAsia" w:ascii="仿宋" w:hAnsi="仿宋" w:eastAsia="仿宋" w:cs="仿宋"/>
          <w:color w:val="auto"/>
          <w:kern w:val="0"/>
          <w:sz w:val="32"/>
          <w:szCs w:val="32"/>
          <w:lang w:val="en-US" w:eastAsia="zh-CN"/>
        </w:rPr>
        <w:t>16</w:t>
      </w:r>
      <w:r>
        <w:rPr>
          <w:rFonts w:hint="eastAsia" w:ascii="仿宋" w:hAnsi="仿宋" w:eastAsia="仿宋" w:cs="仿宋"/>
          <w:color w:val="auto"/>
          <w:kern w:val="0"/>
          <w:sz w:val="32"/>
          <w:szCs w:val="32"/>
        </w:rPr>
        <w:t>万元。</w:t>
      </w:r>
    </w:p>
    <w:p w14:paraId="3DC83263">
      <w:pPr>
        <w:ind w:firstLine="640" w:firstLineChars="200"/>
        <w:rPr>
          <w:rFonts w:hint="eastAsia" w:ascii="仿宋" w:hAnsi="仿宋" w:eastAsia="仿宋" w:cs="仿宋"/>
          <w:color w:val="auto"/>
          <w:kern w:val="0"/>
          <w:sz w:val="32"/>
          <w:szCs w:val="32"/>
        </w:rPr>
      </w:pPr>
      <w:r>
        <w:rPr>
          <w:rFonts w:hint="eastAsia" w:ascii="仿宋" w:hAnsi="仿宋" w:eastAsia="仿宋" w:cs="仿宋"/>
          <w:color w:val="auto"/>
          <w:kern w:val="0"/>
          <w:sz w:val="32"/>
          <w:szCs w:val="32"/>
        </w:rPr>
        <w:t>（7）绩效目标。减少艾滋病等血液传染病的传播、萎缩毒品市场、减少违法犯罪。</w:t>
      </w:r>
    </w:p>
    <w:tbl>
      <w:tblPr>
        <w:tblStyle w:val="5"/>
        <w:tblW w:w="90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38"/>
        <w:gridCol w:w="723"/>
        <w:gridCol w:w="282"/>
        <w:gridCol w:w="674"/>
        <w:gridCol w:w="3000"/>
        <w:gridCol w:w="1523"/>
        <w:gridCol w:w="2380"/>
      </w:tblGrid>
      <w:tr w14:paraId="665E66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3" w:hRule="atLeast"/>
          <w:jc w:val="center"/>
        </w:trPr>
        <w:tc>
          <w:tcPr>
            <w:tcW w:w="9020" w:type="dxa"/>
            <w:gridSpan w:val="7"/>
            <w:tcBorders>
              <w:top w:val="nil"/>
              <w:left w:val="nil"/>
              <w:bottom w:val="nil"/>
              <w:right w:val="nil"/>
            </w:tcBorders>
            <w:vAlign w:val="center"/>
          </w:tcPr>
          <w:p w14:paraId="10581A82">
            <w:pPr>
              <w:widowControl/>
              <w:jc w:val="center"/>
              <w:textAlignment w:val="center"/>
              <w:rPr>
                <w:rFonts w:ascii="宋体" w:cs="宋体"/>
                <w:b/>
                <w:bCs/>
                <w:color w:val="auto"/>
                <w:szCs w:val="32"/>
              </w:rPr>
            </w:pPr>
            <w:r>
              <w:rPr>
                <w:rFonts w:hint="eastAsia" w:ascii="宋体" w:hAnsi="宋体" w:eastAsia="宋体" w:cs="宋体"/>
                <w:b/>
                <w:color w:val="auto"/>
                <w:kern w:val="0"/>
                <w:sz w:val="28"/>
                <w:szCs w:val="28"/>
              </w:rPr>
              <w:t>项目支出绩效目标表</w:t>
            </w:r>
          </w:p>
        </w:tc>
      </w:tr>
      <w:tr w14:paraId="5599CE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9020" w:type="dxa"/>
            <w:gridSpan w:val="7"/>
            <w:tcBorders>
              <w:top w:val="nil"/>
              <w:left w:val="nil"/>
              <w:right w:val="nil"/>
            </w:tcBorders>
            <w:vAlign w:val="center"/>
          </w:tcPr>
          <w:p w14:paraId="1702F674">
            <w:pPr>
              <w:widowControl/>
              <w:jc w:val="center"/>
              <w:textAlignment w:val="center"/>
              <w:rPr>
                <w:rFonts w:ascii="宋体" w:cs="宋体"/>
                <w:color w:val="auto"/>
                <w:sz w:val="20"/>
              </w:rPr>
            </w:pPr>
            <w:r>
              <w:rPr>
                <w:rFonts w:hint="eastAsia" w:ascii="宋体" w:hAnsi="宋体" w:eastAsia="宋体" w:cs="宋体"/>
                <w:color w:val="auto"/>
                <w:kern w:val="0"/>
                <w:sz w:val="20"/>
                <w:szCs w:val="20"/>
              </w:rPr>
              <w:t xml:space="preserve"> （2025年度）                                </w:t>
            </w:r>
          </w:p>
        </w:tc>
      </w:tr>
      <w:tr w14:paraId="5E83F5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jc w:val="center"/>
        </w:trPr>
        <w:tc>
          <w:tcPr>
            <w:tcW w:w="1443" w:type="dxa"/>
            <w:gridSpan w:val="3"/>
            <w:tcBorders>
              <w:tl2br w:val="nil"/>
              <w:tr2bl w:val="nil"/>
            </w:tcBorders>
            <w:vAlign w:val="center"/>
          </w:tcPr>
          <w:p w14:paraId="6340021D">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ascii="宋体" w:cs="宋体"/>
                <w:color w:val="auto"/>
                <w:kern w:val="0"/>
                <w:sz w:val="20"/>
                <w:szCs w:val="20"/>
              </w:rPr>
            </w:pPr>
            <w:r>
              <w:rPr>
                <w:rFonts w:hint="eastAsia" w:ascii="宋体" w:hAnsi="宋体" w:eastAsia="宋体" w:cs="宋体"/>
                <w:color w:val="auto"/>
                <w:kern w:val="0"/>
                <w:sz w:val="20"/>
                <w:szCs w:val="20"/>
              </w:rPr>
              <w:t>项目名称</w:t>
            </w:r>
          </w:p>
        </w:tc>
        <w:tc>
          <w:tcPr>
            <w:tcW w:w="7577" w:type="dxa"/>
            <w:gridSpan w:val="4"/>
            <w:tcBorders>
              <w:tl2br w:val="nil"/>
              <w:tr2bl w:val="nil"/>
            </w:tcBorders>
            <w:vAlign w:val="center"/>
          </w:tcPr>
          <w:p w14:paraId="0672E294">
            <w:pPr>
              <w:keepNext w:val="0"/>
              <w:keepLines w:val="0"/>
              <w:pageBreakBefore w:val="0"/>
              <w:kinsoku/>
              <w:wordWrap/>
              <w:overflowPunct/>
              <w:topLinePunct w:val="0"/>
              <w:autoSpaceDE/>
              <w:autoSpaceDN/>
              <w:bidi w:val="0"/>
              <w:adjustRightInd/>
              <w:snapToGrid/>
              <w:spacing w:line="240" w:lineRule="auto"/>
              <w:jc w:val="center"/>
              <w:rPr>
                <w:rFonts w:ascii="宋体" w:cs="宋体"/>
                <w:color w:val="auto"/>
                <w:kern w:val="0"/>
                <w:sz w:val="20"/>
                <w:szCs w:val="20"/>
              </w:rPr>
            </w:pPr>
            <w:r>
              <w:rPr>
                <w:rFonts w:hint="eastAsia" w:ascii="宋体" w:cs="宋体"/>
                <w:color w:val="auto"/>
                <w:kern w:val="0"/>
                <w:sz w:val="20"/>
                <w:szCs w:val="20"/>
              </w:rPr>
              <w:t>美沙酮门诊项目</w:t>
            </w:r>
          </w:p>
        </w:tc>
      </w:tr>
      <w:tr w14:paraId="2453BE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1" w:hRule="atLeast"/>
          <w:jc w:val="center"/>
        </w:trPr>
        <w:tc>
          <w:tcPr>
            <w:tcW w:w="1443" w:type="dxa"/>
            <w:gridSpan w:val="3"/>
            <w:tcBorders>
              <w:tl2br w:val="nil"/>
              <w:tr2bl w:val="nil"/>
            </w:tcBorders>
            <w:vAlign w:val="center"/>
          </w:tcPr>
          <w:p w14:paraId="5058E983">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ascii="宋体" w:cs="宋体"/>
                <w:color w:val="auto"/>
                <w:kern w:val="0"/>
                <w:sz w:val="20"/>
                <w:szCs w:val="20"/>
              </w:rPr>
            </w:pPr>
            <w:r>
              <w:rPr>
                <w:rFonts w:hint="eastAsia" w:ascii="宋体" w:hAnsi="宋体" w:eastAsia="宋体" w:cs="宋体"/>
                <w:color w:val="auto"/>
                <w:kern w:val="0"/>
                <w:sz w:val="20"/>
                <w:szCs w:val="20"/>
              </w:rPr>
              <w:t>主管部门   及代码</w:t>
            </w:r>
          </w:p>
        </w:tc>
        <w:tc>
          <w:tcPr>
            <w:tcW w:w="3674" w:type="dxa"/>
            <w:gridSpan w:val="2"/>
            <w:tcBorders>
              <w:tl2br w:val="nil"/>
              <w:tr2bl w:val="nil"/>
            </w:tcBorders>
            <w:vAlign w:val="center"/>
          </w:tcPr>
          <w:p w14:paraId="2DA77F8E">
            <w:pPr>
              <w:keepNext w:val="0"/>
              <w:keepLines w:val="0"/>
              <w:pageBreakBefore w:val="0"/>
              <w:kinsoku/>
              <w:wordWrap/>
              <w:overflowPunct/>
              <w:topLinePunct w:val="0"/>
              <w:autoSpaceDE/>
              <w:autoSpaceDN/>
              <w:bidi w:val="0"/>
              <w:adjustRightInd/>
              <w:snapToGrid/>
              <w:spacing w:line="240" w:lineRule="auto"/>
              <w:jc w:val="center"/>
              <w:rPr>
                <w:rFonts w:ascii="宋体" w:cs="宋体"/>
                <w:color w:val="auto"/>
                <w:kern w:val="0"/>
                <w:sz w:val="20"/>
                <w:szCs w:val="20"/>
              </w:rPr>
            </w:pPr>
            <w:r>
              <w:rPr>
                <w:rFonts w:hint="eastAsia" w:ascii="宋体" w:hAnsi="宋体" w:eastAsia="宋体" w:cs="宋体"/>
                <w:color w:val="auto"/>
                <w:kern w:val="0"/>
                <w:sz w:val="20"/>
                <w:szCs w:val="20"/>
              </w:rPr>
              <w:t>[076]淮北市卫生健康委员会</w:t>
            </w:r>
          </w:p>
        </w:tc>
        <w:tc>
          <w:tcPr>
            <w:tcW w:w="1523" w:type="dxa"/>
            <w:tcBorders>
              <w:tl2br w:val="nil"/>
              <w:tr2bl w:val="nil"/>
            </w:tcBorders>
            <w:vAlign w:val="center"/>
          </w:tcPr>
          <w:p w14:paraId="2010950C">
            <w:pPr>
              <w:keepNext w:val="0"/>
              <w:keepLines w:val="0"/>
              <w:pageBreakBefore w:val="0"/>
              <w:widowControl/>
              <w:kinsoku/>
              <w:wordWrap/>
              <w:overflowPunct/>
              <w:topLinePunct w:val="0"/>
              <w:autoSpaceDE/>
              <w:autoSpaceDN/>
              <w:bidi w:val="0"/>
              <w:adjustRightInd/>
              <w:snapToGrid/>
              <w:spacing w:line="240" w:lineRule="auto"/>
              <w:jc w:val="center"/>
              <w:textAlignment w:val="center"/>
              <w:rPr>
                <w:color w:val="auto"/>
                <w:kern w:val="0"/>
                <w:sz w:val="20"/>
                <w:szCs w:val="20"/>
              </w:rPr>
            </w:pPr>
            <w:r>
              <w:rPr>
                <w:rFonts w:hint="eastAsia" w:ascii="宋体" w:hAnsi="宋体" w:eastAsia="宋体" w:cs="宋体"/>
                <w:color w:val="auto"/>
                <w:kern w:val="0"/>
                <w:sz w:val="20"/>
                <w:szCs w:val="20"/>
              </w:rPr>
              <w:t>实施单位</w:t>
            </w:r>
          </w:p>
        </w:tc>
        <w:tc>
          <w:tcPr>
            <w:tcW w:w="2380" w:type="dxa"/>
            <w:tcBorders>
              <w:tl2br w:val="nil"/>
              <w:tr2bl w:val="nil"/>
            </w:tcBorders>
            <w:shd w:val="clear" w:color="auto" w:fill="auto"/>
            <w:vAlign w:val="center"/>
          </w:tcPr>
          <w:p w14:paraId="2DEA7E61">
            <w:pPr>
              <w:keepNext w:val="0"/>
              <w:keepLines w:val="0"/>
              <w:pageBreakBefore w:val="0"/>
              <w:widowControl/>
              <w:kinsoku/>
              <w:wordWrap/>
              <w:overflowPunct/>
              <w:topLinePunct w:val="0"/>
              <w:autoSpaceDE/>
              <w:autoSpaceDN/>
              <w:bidi w:val="0"/>
              <w:adjustRightInd/>
              <w:snapToGrid/>
              <w:spacing w:line="240" w:lineRule="auto"/>
              <w:jc w:val="center"/>
              <w:rPr>
                <w:rFonts w:ascii="宋体" w:hAnsi="宋体" w:eastAsia="宋体" w:cs="宋体"/>
                <w:color w:val="auto"/>
                <w:kern w:val="0"/>
                <w:sz w:val="20"/>
                <w:szCs w:val="20"/>
                <w:lang w:val="en-US" w:eastAsia="zh-CN" w:bidi="ar-SA"/>
              </w:rPr>
            </w:pPr>
            <w:r>
              <w:rPr>
                <w:rFonts w:hint="eastAsia" w:ascii="宋体" w:hAnsi="宋体" w:eastAsia="宋体" w:cs="宋体"/>
                <w:color w:val="auto"/>
                <w:kern w:val="0"/>
                <w:sz w:val="20"/>
                <w:szCs w:val="20"/>
              </w:rPr>
              <w:t>淮北市疾病预防控制中心</w:t>
            </w:r>
          </w:p>
        </w:tc>
      </w:tr>
      <w:tr w14:paraId="1F281D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jc w:val="center"/>
        </w:trPr>
        <w:tc>
          <w:tcPr>
            <w:tcW w:w="1443" w:type="dxa"/>
            <w:gridSpan w:val="3"/>
            <w:tcBorders>
              <w:tl2br w:val="nil"/>
              <w:tr2bl w:val="nil"/>
            </w:tcBorders>
            <w:vAlign w:val="center"/>
          </w:tcPr>
          <w:p w14:paraId="13064FFB">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ascii="宋体" w:cs="宋体"/>
                <w:color w:val="auto"/>
                <w:kern w:val="0"/>
                <w:sz w:val="20"/>
                <w:szCs w:val="20"/>
              </w:rPr>
            </w:pPr>
            <w:r>
              <w:rPr>
                <w:rFonts w:hint="eastAsia" w:ascii="宋体" w:hAnsi="宋体" w:eastAsia="宋体" w:cs="宋体"/>
                <w:color w:val="auto"/>
                <w:kern w:val="0"/>
                <w:sz w:val="20"/>
                <w:szCs w:val="20"/>
              </w:rPr>
              <w:t>项目来源</w:t>
            </w:r>
          </w:p>
        </w:tc>
        <w:tc>
          <w:tcPr>
            <w:tcW w:w="3674" w:type="dxa"/>
            <w:gridSpan w:val="2"/>
            <w:tcBorders>
              <w:tl2br w:val="nil"/>
              <w:tr2bl w:val="nil"/>
            </w:tcBorders>
            <w:vAlign w:val="center"/>
          </w:tcPr>
          <w:p w14:paraId="6E189AC3">
            <w:pPr>
              <w:keepNext w:val="0"/>
              <w:keepLines w:val="0"/>
              <w:pageBreakBefore w:val="0"/>
              <w:kinsoku/>
              <w:wordWrap/>
              <w:overflowPunct/>
              <w:topLinePunct w:val="0"/>
              <w:autoSpaceDE/>
              <w:autoSpaceDN/>
              <w:bidi w:val="0"/>
              <w:adjustRightInd/>
              <w:snapToGrid/>
              <w:spacing w:line="240" w:lineRule="auto"/>
              <w:jc w:val="center"/>
              <w:rPr>
                <w:rFonts w:ascii="宋体" w:cs="宋体"/>
                <w:color w:val="auto"/>
                <w:kern w:val="0"/>
                <w:sz w:val="20"/>
                <w:szCs w:val="20"/>
              </w:rPr>
            </w:pPr>
          </w:p>
        </w:tc>
        <w:tc>
          <w:tcPr>
            <w:tcW w:w="1523" w:type="dxa"/>
            <w:tcBorders>
              <w:tl2br w:val="nil"/>
              <w:tr2bl w:val="nil"/>
            </w:tcBorders>
            <w:vAlign w:val="center"/>
          </w:tcPr>
          <w:p w14:paraId="56DD9FE1">
            <w:pPr>
              <w:keepNext w:val="0"/>
              <w:keepLines w:val="0"/>
              <w:pageBreakBefore w:val="0"/>
              <w:widowControl/>
              <w:kinsoku/>
              <w:wordWrap/>
              <w:overflowPunct/>
              <w:topLinePunct w:val="0"/>
              <w:autoSpaceDE/>
              <w:autoSpaceDN/>
              <w:bidi w:val="0"/>
              <w:adjustRightInd/>
              <w:snapToGrid/>
              <w:spacing w:line="240" w:lineRule="auto"/>
              <w:jc w:val="center"/>
              <w:textAlignment w:val="center"/>
              <w:rPr>
                <w:color w:val="auto"/>
                <w:kern w:val="0"/>
                <w:sz w:val="20"/>
                <w:szCs w:val="20"/>
              </w:rPr>
            </w:pPr>
            <w:r>
              <w:rPr>
                <w:rFonts w:hint="eastAsia" w:ascii="宋体" w:hAnsi="宋体" w:eastAsia="宋体" w:cs="宋体"/>
                <w:color w:val="auto"/>
                <w:kern w:val="0"/>
                <w:sz w:val="20"/>
                <w:szCs w:val="20"/>
              </w:rPr>
              <w:t>项目期</w:t>
            </w:r>
          </w:p>
        </w:tc>
        <w:tc>
          <w:tcPr>
            <w:tcW w:w="2380" w:type="dxa"/>
            <w:tcBorders>
              <w:tl2br w:val="nil"/>
              <w:tr2bl w:val="nil"/>
            </w:tcBorders>
            <w:shd w:val="clear" w:color="auto" w:fill="auto"/>
            <w:vAlign w:val="center"/>
          </w:tcPr>
          <w:p w14:paraId="52B989D3">
            <w:pPr>
              <w:keepNext w:val="0"/>
              <w:keepLines w:val="0"/>
              <w:pageBreakBefore w:val="0"/>
              <w:widowControl/>
              <w:kinsoku/>
              <w:wordWrap/>
              <w:overflowPunct/>
              <w:topLinePunct w:val="0"/>
              <w:autoSpaceDE/>
              <w:autoSpaceDN/>
              <w:bidi w:val="0"/>
              <w:adjustRightInd/>
              <w:snapToGrid/>
              <w:spacing w:line="240" w:lineRule="auto"/>
              <w:jc w:val="center"/>
              <w:rPr>
                <w:rFonts w:ascii="宋体" w:hAnsi="宋体" w:eastAsia="宋体" w:cs="宋体"/>
                <w:color w:val="auto"/>
                <w:kern w:val="0"/>
                <w:sz w:val="20"/>
                <w:szCs w:val="20"/>
                <w:lang w:val="en-US" w:eastAsia="zh-CN" w:bidi="ar-SA"/>
              </w:rPr>
            </w:pPr>
            <w:r>
              <w:rPr>
                <w:rFonts w:hint="eastAsia" w:ascii="宋体" w:hAnsi="宋体" w:eastAsia="宋体" w:cs="宋体"/>
                <w:color w:val="auto"/>
                <w:kern w:val="0"/>
                <w:sz w:val="20"/>
                <w:szCs w:val="20"/>
              </w:rPr>
              <w:t>1年</w:t>
            </w:r>
          </w:p>
        </w:tc>
      </w:tr>
      <w:tr w14:paraId="642146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jc w:val="center"/>
        </w:trPr>
        <w:tc>
          <w:tcPr>
            <w:tcW w:w="1443" w:type="dxa"/>
            <w:gridSpan w:val="3"/>
            <w:vMerge w:val="restart"/>
            <w:tcBorders>
              <w:tl2br w:val="nil"/>
              <w:tr2bl w:val="nil"/>
            </w:tcBorders>
            <w:vAlign w:val="center"/>
          </w:tcPr>
          <w:p w14:paraId="69AB0003">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ascii="宋体" w:cs="宋体"/>
                <w:color w:val="auto"/>
                <w:kern w:val="0"/>
                <w:sz w:val="20"/>
                <w:szCs w:val="20"/>
              </w:rPr>
            </w:pPr>
            <w:r>
              <w:rPr>
                <w:rFonts w:hint="eastAsia" w:ascii="宋体" w:hAnsi="宋体" w:eastAsia="宋体" w:cs="宋体"/>
                <w:color w:val="auto"/>
                <w:kern w:val="0"/>
                <w:sz w:val="20"/>
                <w:szCs w:val="20"/>
              </w:rPr>
              <w:t>项目资金</w:t>
            </w:r>
            <w:r>
              <w:rPr>
                <w:rFonts w:hint="eastAsia" w:ascii="宋体" w:hAnsi="宋体" w:eastAsia="宋体" w:cs="宋体"/>
                <w:color w:val="auto"/>
                <w:kern w:val="0"/>
                <w:sz w:val="20"/>
                <w:szCs w:val="20"/>
              </w:rPr>
              <w:br w:type="textWrapping"/>
            </w:r>
            <w:r>
              <w:rPr>
                <w:rFonts w:hint="eastAsia" w:ascii="宋体" w:hAnsi="宋体" w:eastAsia="宋体" w:cs="宋体"/>
                <w:color w:val="auto"/>
                <w:kern w:val="0"/>
                <w:sz w:val="20"/>
                <w:szCs w:val="20"/>
              </w:rPr>
              <w:t>（万元）</w:t>
            </w:r>
          </w:p>
        </w:tc>
        <w:tc>
          <w:tcPr>
            <w:tcW w:w="3674" w:type="dxa"/>
            <w:gridSpan w:val="2"/>
            <w:tcBorders>
              <w:tl2br w:val="nil"/>
              <w:tr2bl w:val="nil"/>
            </w:tcBorders>
            <w:vAlign w:val="center"/>
          </w:tcPr>
          <w:p w14:paraId="7C08CF07">
            <w:pPr>
              <w:keepNext w:val="0"/>
              <w:keepLines w:val="0"/>
              <w:pageBreakBefore w:val="0"/>
              <w:widowControl/>
              <w:kinsoku/>
              <w:wordWrap/>
              <w:overflowPunct/>
              <w:topLinePunct w:val="0"/>
              <w:autoSpaceDE/>
              <w:autoSpaceDN/>
              <w:bidi w:val="0"/>
              <w:adjustRightInd/>
              <w:snapToGrid/>
              <w:spacing w:line="240" w:lineRule="auto"/>
              <w:jc w:val="left"/>
              <w:textAlignment w:val="center"/>
              <w:rPr>
                <w:rFonts w:ascii="宋体" w:cs="宋体"/>
                <w:color w:val="auto"/>
                <w:kern w:val="0"/>
                <w:sz w:val="20"/>
                <w:szCs w:val="20"/>
              </w:rPr>
            </w:pPr>
            <w:r>
              <w:rPr>
                <w:rFonts w:hint="eastAsia" w:ascii="宋体" w:hAnsi="宋体" w:eastAsia="宋体" w:cs="宋体"/>
                <w:color w:val="auto"/>
                <w:kern w:val="0"/>
                <w:sz w:val="20"/>
                <w:szCs w:val="20"/>
              </w:rPr>
              <w:t xml:space="preserve"> 年度资金总额：</w:t>
            </w:r>
          </w:p>
        </w:tc>
        <w:tc>
          <w:tcPr>
            <w:tcW w:w="3903" w:type="dxa"/>
            <w:gridSpan w:val="2"/>
            <w:tcBorders>
              <w:tl2br w:val="nil"/>
              <w:tr2bl w:val="nil"/>
            </w:tcBorders>
            <w:shd w:val="clear" w:color="auto" w:fill="auto"/>
            <w:vAlign w:val="center"/>
          </w:tcPr>
          <w:p w14:paraId="0F9D59E9">
            <w:pPr>
              <w:keepNext w:val="0"/>
              <w:keepLines w:val="0"/>
              <w:widowControl/>
              <w:suppressLineNumbers w:val="0"/>
              <w:jc w:val="right"/>
              <w:textAlignment w:val="center"/>
              <w:rPr>
                <w:rFonts w:ascii="宋体" w:hAnsi="宋体" w:eastAsia="宋体" w:cs="宋体"/>
                <w:color w:val="auto"/>
                <w:kern w:val="0"/>
                <w:sz w:val="20"/>
                <w:szCs w:val="20"/>
                <w:lang w:val="en-US" w:eastAsia="zh-CN" w:bidi="ar-SA"/>
              </w:rPr>
            </w:pPr>
            <w:r>
              <w:rPr>
                <w:rFonts w:hint="eastAsia" w:ascii="宋体" w:hAnsi="宋体" w:eastAsia="宋体" w:cs="宋体"/>
                <w:i w:val="0"/>
                <w:iCs w:val="0"/>
                <w:color w:val="auto"/>
                <w:kern w:val="0"/>
                <w:sz w:val="20"/>
                <w:szCs w:val="20"/>
                <w:u w:val="none"/>
                <w:lang w:val="en-US" w:eastAsia="zh-CN" w:bidi="ar"/>
              </w:rPr>
              <w:t xml:space="preserve">      16.00 </w:t>
            </w:r>
          </w:p>
        </w:tc>
      </w:tr>
      <w:tr w14:paraId="260F8B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jc w:val="center"/>
        </w:trPr>
        <w:tc>
          <w:tcPr>
            <w:tcW w:w="1443" w:type="dxa"/>
            <w:gridSpan w:val="3"/>
            <w:vMerge w:val="continue"/>
            <w:tcBorders>
              <w:tl2br w:val="nil"/>
              <w:tr2bl w:val="nil"/>
            </w:tcBorders>
            <w:vAlign w:val="center"/>
          </w:tcPr>
          <w:p w14:paraId="61B4F360">
            <w:pPr>
              <w:keepNext w:val="0"/>
              <w:keepLines w:val="0"/>
              <w:pageBreakBefore w:val="0"/>
              <w:kinsoku/>
              <w:wordWrap/>
              <w:overflowPunct/>
              <w:topLinePunct w:val="0"/>
              <w:autoSpaceDE/>
              <w:autoSpaceDN/>
              <w:bidi w:val="0"/>
              <w:adjustRightInd/>
              <w:snapToGrid/>
              <w:spacing w:line="240" w:lineRule="auto"/>
              <w:jc w:val="center"/>
              <w:rPr>
                <w:rFonts w:ascii="宋体" w:cs="宋体"/>
                <w:color w:val="auto"/>
                <w:kern w:val="0"/>
                <w:sz w:val="20"/>
                <w:szCs w:val="20"/>
              </w:rPr>
            </w:pPr>
          </w:p>
        </w:tc>
        <w:tc>
          <w:tcPr>
            <w:tcW w:w="3674" w:type="dxa"/>
            <w:gridSpan w:val="2"/>
            <w:tcBorders>
              <w:tl2br w:val="nil"/>
              <w:tr2bl w:val="nil"/>
            </w:tcBorders>
            <w:vAlign w:val="center"/>
          </w:tcPr>
          <w:p w14:paraId="0A3074D4">
            <w:pPr>
              <w:keepNext w:val="0"/>
              <w:keepLines w:val="0"/>
              <w:pageBreakBefore w:val="0"/>
              <w:widowControl/>
              <w:kinsoku/>
              <w:wordWrap/>
              <w:overflowPunct/>
              <w:topLinePunct w:val="0"/>
              <w:autoSpaceDE/>
              <w:autoSpaceDN/>
              <w:bidi w:val="0"/>
              <w:adjustRightInd/>
              <w:snapToGrid/>
              <w:spacing w:line="240" w:lineRule="auto"/>
              <w:jc w:val="left"/>
              <w:textAlignment w:val="center"/>
              <w:rPr>
                <w:rFonts w:ascii="宋体" w:cs="宋体"/>
                <w:color w:val="auto"/>
                <w:kern w:val="0"/>
                <w:sz w:val="20"/>
                <w:szCs w:val="20"/>
              </w:rPr>
            </w:pPr>
            <w:r>
              <w:rPr>
                <w:rFonts w:hint="eastAsia" w:ascii="宋体" w:hAnsi="宋体" w:eastAsia="宋体" w:cs="宋体"/>
                <w:color w:val="auto"/>
                <w:kern w:val="0"/>
                <w:sz w:val="20"/>
                <w:szCs w:val="20"/>
              </w:rPr>
              <w:t xml:space="preserve">   其中：财政拨款</w:t>
            </w:r>
          </w:p>
        </w:tc>
        <w:tc>
          <w:tcPr>
            <w:tcW w:w="3903" w:type="dxa"/>
            <w:gridSpan w:val="2"/>
            <w:tcBorders>
              <w:tl2br w:val="nil"/>
              <w:tr2bl w:val="nil"/>
            </w:tcBorders>
            <w:shd w:val="clear" w:color="auto" w:fill="auto"/>
            <w:vAlign w:val="center"/>
          </w:tcPr>
          <w:p w14:paraId="52B1C49B">
            <w:pPr>
              <w:keepNext w:val="0"/>
              <w:keepLines w:val="0"/>
              <w:widowControl/>
              <w:suppressLineNumbers w:val="0"/>
              <w:jc w:val="right"/>
              <w:textAlignment w:val="center"/>
              <w:rPr>
                <w:rFonts w:ascii="宋体" w:hAnsi="宋体" w:eastAsia="宋体" w:cs="宋体"/>
                <w:color w:val="auto"/>
                <w:kern w:val="0"/>
                <w:sz w:val="20"/>
                <w:szCs w:val="20"/>
                <w:lang w:val="en-US" w:eastAsia="zh-CN" w:bidi="ar-SA"/>
              </w:rPr>
            </w:pPr>
            <w:r>
              <w:rPr>
                <w:rFonts w:hint="eastAsia" w:ascii="宋体" w:hAnsi="宋体" w:eastAsia="宋体" w:cs="宋体"/>
                <w:i w:val="0"/>
                <w:iCs w:val="0"/>
                <w:color w:val="auto"/>
                <w:kern w:val="0"/>
                <w:sz w:val="20"/>
                <w:szCs w:val="20"/>
                <w:u w:val="none"/>
                <w:lang w:val="en-US" w:eastAsia="zh-CN" w:bidi="ar"/>
              </w:rPr>
              <w:t xml:space="preserve">      16.00 </w:t>
            </w:r>
          </w:p>
        </w:tc>
      </w:tr>
      <w:tr w14:paraId="30B5F3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jc w:val="center"/>
        </w:trPr>
        <w:tc>
          <w:tcPr>
            <w:tcW w:w="1443" w:type="dxa"/>
            <w:gridSpan w:val="3"/>
            <w:vMerge w:val="continue"/>
            <w:tcBorders>
              <w:tl2br w:val="nil"/>
              <w:tr2bl w:val="nil"/>
            </w:tcBorders>
            <w:vAlign w:val="center"/>
          </w:tcPr>
          <w:p w14:paraId="21103E17">
            <w:pPr>
              <w:keepNext w:val="0"/>
              <w:keepLines w:val="0"/>
              <w:pageBreakBefore w:val="0"/>
              <w:kinsoku/>
              <w:wordWrap/>
              <w:overflowPunct/>
              <w:topLinePunct w:val="0"/>
              <w:autoSpaceDE/>
              <w:autoSpaceDN/>
              <w:bidi w:val="0"/>
              <w:adjustRightInd/>
              <w:snapToGrid/>
              <w:spacing w:line="240" w:lineRule="auto"/>
              <w:jc w:val="center"/>
              <w:rPr>
                <w:rFonts w:ascii="宋体" w:cs="宋体"/>
                <w:color w:val="auto"/>
                <w:kern w:val="0"/>
                <w:sz w:val="20"/>
                <w:szCs w:val="20"/>
              </w:rPr>
            </w:pPr>
          </w:p>
        </w:tc>
        <w:tc>
          <w:tcPr>
            <w:tcW w:w="3674" w:type="dxa"/>
            <w:gridSpan w:val="2"/>
            <w:tcBorders>
              <w:tl2br w:val="nil"/>
              <w:tr2bl w:val="nil"/>
            </w:tcBorders>
            <w:vAlign w:val="center"/>
          </w:tcPr>
          <w:p w14:paraId="6A3F70B7">
            <w:pPr>
              <w:keepNext w:val="0"/>
              <w:keepLines w:val="0"/>
              <w:pageBreakBefore w:val="0"/>
              <w:widowControl/>
              <w:kinsoku/>
              <w:wordWrap/>
              <w:overflowPunct/>
              <w:topLinePunct w:val="0"/>
              <w:autoSpaceDE/>
              <w:autoSpaceDN/>
              <w:bidi w:val="0"/>
              <w:adjustRightInd/>
              <w:snapToGrid/>
              <w:spacing w:line="240" w:lineRule="auto"/>
              <w:jc w:val="left"/>
              <w:textAlignment w:val="center"/>
              <w:rPr>
                <w:rFonts w:ascii="宋体" w:cs="宋体"/>
                <w:color w:val="auto"/>
                <w:kern w:val="0"/>
                <w:sz w:val="20"/>
                <w:szCs w:val="20"/>
              </w:rPr>
            </w:pPr>
            <w:r>
              <w:rPr>
                <w:rFonts w:hint="eastAsia" w:ascii="宋体" w:hAnsi="宋体" w:eastAsia="宋体" w:cs="宋体"/>
                <w:color w:val="auto"/>
                <w:kern w:val="0"/>
                <w:sz w:val="20"/>
                <w:szCs w:val="20"/>
              </w:rPr>
              <w:t xml:space="preserve">         上年结转</w:t>
            </w:r>
          </w:p>
        </w:tc>
        <w:tc>
          <w:tcPr>
            <w:tcW w:w="3903" w:type="dxa"/>
            <w:gridSpan w:val="2"/>
            <w:tcBorders>
              <w:tl2br w:val="nil"/>
              <w:tr2bl w:val="nil"/>
            </w:tcBorders>
            <w:shd w:val="clear" w:color="auto" w:fill="auto"/>
            <w:vAlign w:val="center"/>
          </w:tcPr>
          <w:p w14:paraId="0D6AF417">
            <w:pPr>
              <w:keepNext w:val="0"/>
              <w:keepLines w:val="0"/>
              <w:pageBreakBefore w:val="0"/>
              <w:widowControl/>
              <w:kinsoku/>
              <w:wordWrap/>
              <w:overflowPunct/>
              <w:topLinePunct w:val="0"/>
              <w:autoSpaceDE/>
              <w:autoSpaceDN/>
              <w:bidi w:val="0"/>
              <w:adjustRightInd/>
              <w:snapToGrid/>
              <w:spacing w:line="240" w:lineRule="auto"/>
              <w:jc w:val="right"/>
              <w:rPr>
                <w:rFonts w:ascii="宋体" w:hAnsi="宋体" w:eastAsia="宋体" w:cs="宋体"/>
                <w:color w:val="auto"/>
                <w:kern w:val="0"/>
                <w:sz w:val="20"/>
                <w:szCs w:val="20"/>
                <w:lang w:val="en-US" w:eastAsia="zh-CN" w:bidi="ar-SA"/>
              </w:rPr>
            </w:pPr>
            <w:r>
              <w:rPr>
                <w:rFonts w:hint="eastAsia" w:ascii="宋体" w:hAnsi="宋体" w:eastAsia="宋体" w:cs="宋体"/>
                <w:color w:val="auto"/>
                <w:kern w:val="0"/>
                <w:sz w:val="20"/>
                <w:szCs w:val="20"/>
              </w:rPr>
              <w:t xml:space="preserve">      0.00 </w:t>
            </w:r>
          </w:p>
        </w:tc>
      </w:tr>
      <w:tr w14:paraId="00ABF6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jc w:val="center"/>
        </w:trPr>
        <w:tc>
          <w:tcPr>
            <w:tcW w:w="1443" w:type="dxa"/>
            <w:gridSpan w:val="3"/>
            <w:vMerge w:val="continue"/>
            <w:tcBorders>
              <w:tl2br w:val="nil"/>
              <w:tr2bl w:val="nil"/>
            </w:tcBorders>
            <w:vAlign w:val="center"/>
          </w:tcPr>
          <w:p w14:paraId="516A6CC9">
            <w:pPr>
              <w:keepNext w:val="0"/>
              <w:keepLines w:val="0"/>
              <w:pageBreakBefore w:val="0"/>
              <w:kinsoku/>
              <w:wordWrap/>
              <w:overflowPunct/>
              <w:topLinePunct w:val="0"/>
              <w:autoSpaceDE/>
              <w:autoSpaceDN/>
              <w:bidi w:val="0"/>
              <w:adjustRightInd/>
              <w:snapToGrid/>
              <w:spacing w:line="240" w:lineRule="auto"/>
              <w:jc w:val="center"/>
              <w:rPr>
                <w:rFonts w:ascii="宋体" w:cs="宋体"/>
                <w:color w:val="auto"/>
                <w:kern w:val="0"/>
                <w:sz w:val="20"/>
                <w:szCs w:val="20"/>
              </w:rPr>
            </w:pPr>
          </w:p>
        </w:tc>
        <w:tc>
          <w:tcPr>
            <w:tcW w:w="3674" w:type="dxa"/>
            <w:gridSpan w:val="2"/>
            <w:tcBorders>
              <w:tl2br w:val="nil"/>
              <w:tr2bl w:val="nil"/>
            </w:tcBorders>
            <w:vAlign w:val="center"/>
          </w:tcPr>
          <w:p w14:paraId="6E912AD8">
            <w:pPr>
              <w:keepNext w:val="0"/>
              <w:keepLines w:val="0"/>
              <w:pageBreakBefore w:val="0"/>
              <w:widowControl/>
              <w:kinsoku/>
              <w:wordWrap/>
              <w:overflowPunct/>
              <w:topLinePunct w:val="0"/>
              <w:autoSpaceDE/>
              <w:autoSpaceDN/>
              <w:bidi w:val="0"/>
              <w:adjustRightInd/>
              <w:snapToGrid/>
              <w:spacing w:line="240" w:lineRule="auto"/>
              <w:jc w:val="left"/>
              <w:textAlignment w:val="center"/>
              <w:rPr>
                <w:rFonts w:ascii="宋体" w:cs="宋体"/>
                <w:color w:val="auto"/>
                <w:kern w:val="0"/>
                <w:sz w:val="20"/>
                <w:szCs w:val="20"/>
              </w:rPr>
            </w:pPr>
            <w:r>
              <w:rPr>
                <w:rFonts w:hint="eastAsia" w:ascii="宋体" w:hAnsi="宋体" w:eastAsia="宋体" w:cs="宋体"/>
                <w:color w:val="auto"/>
                <w:kern w:val="0"/>
                <w:sz w:val="20"/>
                <w:szCs w:val="20"/>
              </w:rPr>
              <w:t xml:space="preserve">         其他资金</w:t>
            </w:r>
          </w:p>
        </w:tc>
        <w:tc>
          <w:tcPr>
            <w:tcW w:w="3903" w:type="dxa"/>
            <w:gridSpan w:val="2"/>
            <w:tcBorders>
              <w:tl2br w:val="nil"/>
              <w:tr2bl w:val="nil"/>
            </w:tcBorders>
            <w:vAlign w:val="center"/>
          </w:tcPr>
          <w:p w14:paraId="2D912E3F">
            <w:pPr>
              <w:keepNext w:val="0"/>
              <w:keepLines w:val="0"/>
              <w:pageBreakBefore w:val="0"/>
              <w:kinsoku/>
              <w:wordWrap/>
              <w:overflowPunct/>
              <w:topLinePunct w:val="0"/>
              <w:autoSpaceDE/>
              <w:autoSpaceDN/>
              <w:bidi w:val="0"/>
              <w:adjustRightInd/>
              <w:snapToGrid/>
              <w:spacing w:line="240" w:lineRule="auto"/>
              <w:jc w:val="right"/>
              <w:rPr>
                <w:rFonts w:hint="default" w:ascii="宋体" w:cs="宋体" w:eastAsiaTheme="minorEastAsia"/>
                <w:color w:val="auto"/>
                <w:kern w:val="0"/>
                <w:sz w:val="20"/>
                <w:szCs w:val="20"/>
                <w:lang w:val="en-US" w:eastAsia="zh-CN"/>
              </w:rPr>
            </w:pPr>
            <w:r>
              <w:rPr>
                <w:rFonts w:hint="eastAsia" w:ascii="宋体" w:hAnsi="宋体" w:eastAsia="宋体" w:cs="宋体"/>
                <w:color w:val="auto"/>
                <w:kern w:val="0"/>
                <w:sz w:val="20"/>
                <w:szCs w:val="20"/>
              </w:rPr>
              <w:t>0.00</w:t>
            </w:r>
          </w:p>
        </w:tc>
      </w:tr>
      <w:tr w14:paraId="4B35D1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5" w:hRule="atLeast"/>
          <w:jc w:val="center"/>
        </w:trPr>
        <w:tc>
          <w:tcPr>
            <w:tcW w:w="438" w:type="dxa"/>
            <w:tcBorders>
              <w:tl2br w:val="nil"/>
              <w:tr2bl w:val="nil"/>
            </w:tcBorders>
            <w:vAlign w:val="center"/>
          </w:tcPr>
          <w:p w14:paraId="5EEBE1DC">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ascii="宋体" w:cs="宋体"/>
                <w:color w:val="auto"/>
                <w:kern w:val="0"/>
                <w:sz w:val="20"/>
                <w:szCs w:val="20"/>
              </w:rPr>
            </w:pPr>
            <w:r>
              <w:rPr>
                <w:rFonts w:hint="eastAsia" w:ascii="宋体" w:hAnsi="宋体" w:eastAsia="宋体" w:cs="宋体"/>
                <w:color w:val="auto"/>
                <w:kern w:val="0"/>
                <w:sz w:val="20"/>
                <w:szCs w:val="20"/>
              </w:rPr>
              <w:t>年度</w:t>
            </w:r>
            <w:r>
              <w:rPr>
                <w:rFonts w:hint="eastAsia" w:ascii="宋体" w:hAnsi="宋体" w:eastAsia="宋体" w:cs="宋体"/>
                <w:color w:val="auto"/>
                <w:kern w:val="0"/>
                <w:sz w:val="20"/>
                <w:szCs w:val="20"/>
              </w:rPr>
              <w:br w:type="textWrapping"/>
            </w:r>
            <w:r>
              <w:rPr>
                <w:rFonts w:hint="eastAsia" w:ascii="宋体" w:hAnsi="宋体" w:eastAsia="宋体" w:cs="宋体"/>
                <w:color w:val="auto"/>
                <w:kern w:val="0"/>
                <w:sz w:val="20"/>
                <w:szCs w:val="20"/>
              </w:rPr>
              <w:t>目标</w:t>
            </w:r>
          </w:p>
        </w:tc>
        <w:tc>
          <w:tcPr>
            <w:tcW w:w="8582" w:type="dxa"/>
            <w:gridSpan w:val="6"/>
            <w:tcBorders>
              <w:tl2br w:val="nil"/>
              <w:tr2bl w:val="nil"/>
            </w:tcBorders>
            <w:vAlign w:val="center"/>
          </w:tcPr>
          <w:p w14:paraId="59EF4204">
            <w:pPr>
              <w:keepNext w:val="0"/>
              <w:keepLines w:val="0"/>
              <w:pageBreakBefore w:val="0"/>
              <w:kinsoku/>
              <w:wordWrap/>
              <w:overflowPunct/>
              <w:topLinePunct w:val="0"/>
              <w:autoSpaceDE/>
              <w:autoSpaceDN/>
              <w:bidi w:val="0"/>
              <w:adjustRightInd/>
              <w:snapToGrid/>
              <w:spacing w:line="240" w:lineRule="auto"/>
              <w:jc w:val="left"/>
              <w:rPr>
                <w:rFonts w:ascii="宋体" w:cs="宋体"/>
                <w:color w:val="auto"/>
                <w:kern w:val="0"/>
                <w:sz w:val="20"/>
                <w:szCs w:val="20"/>
              </w:rPr>
            </w:pPr>
            <w:r>
              <w:rPr>
                <w:rFonts w:hint="eastAsia" w:ascii="宋体" w:cs="宋体"/>
                <w:color w:val="auto"/>
                <w:kern w:val="0"/>
                <w:sz w:val="20"/>
                <w:szCs w:val="20"/>
              </w:rPr>
              <w:t>减少艾滋病等血液传染病的传播、萎缩毒品市场、减少违法犯罪。</w:t>
            </w:r>
          </w:p>
        </w:tc>
      </w:tr>
      <w:tr w14:paraId="251EF2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8" w:hRule="atLeast"/>
          <w:jc w:val="center"/>
        </w:trPr>
        <w:tc>
          <w:tcPr>
            <w:tcW w:w="438" w:type="dxa"/>
            <w:vMerge w:val="restart"/>
            <w:tcBorders>
              <w:tl2br w:val="nil"/>
              <w:tr2bl w:val="nil"/>
            </w:tcBorders>
            <w:vAlign w:val="center"/>
          </w:tcPr>
          <w:p w14:paraId="35D05C6F">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ascii="宋体" w:cs="宋体"/>
                <w:color w:val="auto"/>
                <w:kern w:val="0"/>
                <w:sz w:val="20"/>
                <w:szCs w:val="20"/>
              </w:rPr>
            </w:pPr>
            <w:r>
              <w:rPr>
                <w:rFonts w:hint="eastAsia" w:ascii="宋体" w:hAnsi="宋体" w:eastAsia="宋体" w:cs="宋体"/>
                <w:color w:val="auto"/>
                <w:kern w:val="0"/>
                <w:sz w:val="20"/>
                <w:szCs w:val="20"/>
              </w:rPr>
              <w:t>绩</w:t>
            </w:r>
            <w:r>
              <w:rPr>
                <w:rFonts w:hint="eastAsia" w:ascii="宋体" w:hAnsi="宋体" w:eastAsia="宋体" w:cs="宋体"/>
                <w:color w:val="auto"/>
                <w:kern w:val="0"/>
                <w:sz w:val="20"/>
                <w:szCs w:val="20"/>
              </w:rPr>
              <w:br w:type="textWrapping"/>
            </w:r>
            <w:r>
              <w:rPr>
                <w:rFonts w:hint="eastAsia" w:ascii="宋体" w:hAnsi="宋体" w:eastAsia="宋体" w:cs="宋体"/>
                <w:color w:val="auto"/>
                <w:kern w:val="0"/>
                <w:sz w:val="20"/>
                <w:szCs w:val="20"/>
              </w:rPr>
              <w:t>效</w:t>
            </w:r>
            <w:r>
              <w:rPr>
                <w:rFonts w:hint="eastAsia" w:ascii="宋体" w:hAnsi="宋体" w:eastAsia="宋体" w:cs="宋体"/>
                <w:color w:val="auto"/>
                <w:kern w:val="0"/>
                <w:sz w:val="20"/>
                <w:szCs w:val="20"/>
              </w:rPr>
              <w:br w:type="textWrapping"/>
            </w:r>
            <w:r>
              <w:rPr>
                <w:rFonts w:hint="eastAsia" w:ascii="宋体" w:hAnsi="宋体" w:eastAsia="宋体" w:cs="宋体"/>
                <w:color w:val="auto"/>
                <w:kern w:val="0"/>
                <w:sz w:val="20"/>
                <w:szCs w:val="20"/>
              </w:rPr>
              <w:t>指</w:t>
            </w:r>
            <w:r>
              <w:rPr>
                <w:rFonts w:hint="eastAsia" w:ascii="宋体" w:hAnsi="宋体" w:eastAsia="宋体" w:cs="宋体"/>
                <w:color w:val="auto"/>
                <w:kern w:val="0"/>
                <w:sz w:val="20"/>
                <w:szCs w:val="20"/>
              </w:rPr>
              <w:br w:type="textWrapping"/>
            </w:r>
            <w:r>
              <w:rPr>
                <w:rFonts w:hint="eastAsia" w:ascii="宋体" w:hAnsi="宋体" w:eastAsia="宋体" w:cs="宋体"/>
                <w:color w:val="auto"/>
                <w:kern w:val="0"/>
                <w:sz w:val="20"/>
                <w:szCs w:val="20"/>
              </w:rPr>
              <w:t>标</w:t>
            </w:r>
          </w:p>
        </w:tc>
        <w:tc>
          <w:tcPr>
            <w:tcW w:w="723" w:type="dxa"/>
            <w:tcBorders>
              <w:tl2br w:val="nil"/>
              <w:tr2bl w:val="nil"/>
            </w:tcBorders>
            <w:vAlign w:val="center"/>
          </w:tcPr>
          <w:p w14:paraId="7242634E">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ascii="宋体" w:cs="宋体"/>
                <w:color w:val="auto"/>
                <w:kern w:val="0"/>
                <w:sz w:val="20"/>
                <w:szCs w:val="20"/>
              </w:rPr>
            </w:pPr>
            <w:r>
              <w:rPr>
                <w:rFonts w:hint="eastAsia" w:ascii="宋体" w:hAnsi="宋体" w:eastAsia="宋体" w:cs="宋体"/>
                <w:color w:val="auto"/>
                <w:kern w:val="0"/>
                <w:sz w:val="20"/>
                <w:szCs w:val="20"/>
              </w:rPr>
              <w:t>一级</w:t>
            </w:r>
            <w:r>
              <w:rPr>
                <w:rFonts w:hint="eastAsia" w:ascii="宋体" w:hAnsi="宋体" w:eastAsia="宋体" w:cs="宋体"/>
                <w:color w:val="auto"/>
                <w:kern w:val="0"/>
                <w:sz w:val="20"/>
                <w:szCs w:val="20"/>
              </w:rPr>
              <w:br w:type="textWrapping"/>
            </w:r>
            <w:r>
              <w:rPr>
                <w:rFonts w:hint="eastAsia" w:ascii="宋体" w:hAnsi="宋体" w:eastAsia="宋体" w:cs="宋体"/>
                <w:color w:val="auto"/>
                <w:kern w:val="0"/>
                <w:sz w:val="20"/>
                <w:szCs w:val="20"/>
              </w:rPr>
              <w:t>指标</w:t>
            </w:r>
          </w:p>
        </w:tc>
        <w:tc>
          <w:tcPr>
            <w:tcW w:w="956" w:type="dxa"/>
            <w:gridSpan w:val="2"/>
            <w:tcBorders>
              <w:tl2br w:val="nil"/>
              <w:tr2bl w:val="nil"/>
            </w:tcBorders>
            <w:vAlign w:val="center"/>
          </w:tcPr>
          <w:p w14:paraId="4E6B3E50">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ascii="宋体" w:cs="宋体"/>
                <w:color w:val="auto"/>
                <w:kern w:val="0"/>
                <w:sz w:val="20"/>
                <w:szCs w:val="20"/>
              </w:rPr>
            </w:pPr>
            <w:r>
              <w:rPr>
                <w:rFonts w:hint="eastAsia" w:ascii="宋体" w:hAnsi="宋体" w:eastAsia="宋体" w:cs="宋体"/>
                <w:color w:val="auto"/>
                <w:kern w:val="0"/>
                <w:sz w:val="20"/>
                <w:szCs w:val="20"/>
              </w:rPr>
              <w:t>二级指标</w:t>
            </w:r>
          </w:p>
        </w:tc>
        <w:tc>
          <w:tcPr>
            <w:tcW w:w="3000" w:type="dxa"/>
            <w:tcBorders>
              <w:tl2br w:val="nil"/>
              <w:tr2bl w:val="nil"/>
            </w:tcBorders>
            <w:vAlign w:val="center"/>
          </w:tcPr>
          <w:p w14:paraId="47625CCD">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ascii="宋体" w:cs="宋体"/>
                <w:color w:val="auto"/>
                <w:kern w:val="0"/>
                <w:sz w:val="20"/>
                <w:szCs w:val="20"/>
              </w:rPr>
            </w:pPr>
            <w:r>
              <w:rPr>
                <w:rFonts w:hint="eastAsia" w:ascii="宋体" w:hAnsi="宋体" w:eastAsia="宋体" w:cs="宋体"/>
                <w:color w:val="auto"/>
                <w:kern w:val="0"/>
                <w:sz w:val="20"/>
                <w:szCs w:val="20"/>
              </w:rPr>
              <w:t>三级指标</w:t>
            </w:r>
          </w:p>
        </w:tc>
        <w:tc>
          <w:tcPr>
            <w:tcW w:w="3903" w:type="dxa"/>
            <w:gridSpan w:val="2"/>
            <w:tcBorders>
              <w:tl2br w:val="nil"/>
              <w:tr2bl w:val="nil"/>
            </w:tcBorders>
            <w:vAlign w:val="center"/>
          </w:tcPr>
          <w:p w14:paraId="31BBCC8E">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ascii="宋体" w:cs="宋体"/>
                <w:color w:val="auto"/>
                <w:kern w:val="0"/>
                <w:sz w:val="20"/>
                <w:szCs w:val="20"/>
              </w:rPr>
            </w:pPr>
            <w:r>
              <w:rPr>
                <w:rFonts w:hint="eastAsia" w:ascii="宋体" w:hAnsi="宋体" w:eastAsia="宋体" w:cs="宋体"/>
                <w:color w:val="auto"/>
                <w:kern w:val="0"/>
                <w:sz w:val="20"/>
                <w:szCs w:val="20"/>
              </w:rPr>
              <w:t>指标值</w:t>
            </w:r>
          </w:p>
        </w:tc>
      </w:tr>
      <w:tr w14:paraId="17375E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3" w:hRule="atLeast"/>
          <w:jc w:val="center"/>
        </w:trPr>
        <w:tc>
          <w:tcPr>
            <w:tcW w:w="438" w:type="dxa"/>
            <w:vMerge w:val="continue"/>
            <w:tcBorders>
              <w:tl2br w:val="nil"/>
              <w:tr2bl w:val="nil"/>
            </w:tcBorders>
            <w:vAlign w:val="center"/>
          </w:tcPr>
          <w:p w14:paraId="311BC818">
            <w:pPr>
              <w:keepNext w:val="0"/>
              <w:keepLines w:val="0"/>
              <w:pageBreakBefore w:val="0"/>
              <w:kinsoku/>
              <w:wordWrap/>
              <w:overflowPunct/>
              <w:topLinePunct w:val="0"/>
              <w:autoSpaceDE/>
              <w:autoSpaceDN/>
              <w:bidi w:val="0"/>
              <w:adjustRightInd/>
              <w:snapToGrid/>
              <w:spacing w:line="240" w:lineRule="auto"/>
              <w:jc w:val="center"/>
              <w:rPr>
                <w:rFonts w:ascii="宋体" w:cs="宋体"/>
                <w:color w:val="auto"/>
                <w:kern w:val="0"/>
                <w:sz w:val="20"/>
                <w:szCs w:val="20"/>
              </w:rPr>
            </w:pPr>
          </w:p>
        </w:tc>
        <w:tc>
          <w:tcPr>
            <w:tcW w:w="723" w:type="dxa"/>
            <w:vMerge w:val="restart"/>
            <w:tcBorders>
              <w:tl2br w:val="nil"/>
              <w:tr2bl w:val="nil"/>
            </w:tcBorders>
            <w:vAlign w:val="center"/>
          </w:tcPr>
          <w:p w14:paraId="2702101B">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ascii="宋体" w:cs="宋体"/>
                <w:color w:val="auto"/>
                <w:kern w:val="0"/>
                <w:sz w:val="20"/>
                <w:szCs w:val="20"/>
              </w:rPr>
            </w:pPr>
            <w:r>
              <w:rPr>
                <w:rFonts w:hint="eastAsia" w:ascii="宋体" w:hAnsi="宋体" w:eastAsia="宋体" w:cs="宋体"/>
                <w:color w:val="auto"/>
                <w:kern w:val="0"/>
                <w:sz w:val="20"/>
                <w:szCs w:val="20"/>
              </w:rPr>
              <w:t>产出指标</w:t>
            </w:r>
          </w:p>
        </w:tc>
        <w:tc>
          <w:tcPr>
            <w:tcW w:w="956" w:type="dxa"/>
            <w:gridSpan w:val="2"/>
            <w:tcBorders>
              <w:tl2br w:val="nil"/>
              <w:tr2bl w:val="nil"/>
            </w:tcBorders>
            <w:vAlign w:val="center"/>
          </w:tcPr>
          <w:p w14:paraId="4B3AEE80">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ascii="宋体" w:cs="宋体"/>
                <w:color w:val="auto"/>
                <w:kern w:val="0"/>
                <w:sz w:val="20"/>
                <w:szCs w:val="20"/>
              </w:rPr>
            </w:pPr>
            <w:r>
              <w:rPr>
                <w:rFonts w:hint="eastAsia" w:ascii="宋体" w:hAnsi="宋体" w:eastAsia="宋体" w:cs="宋体"/>
                <w:color w:val="auto"/>
                <w:kern w:val="0"/>
                <w:sz w:val="20"/>
                <w:szCs w:val="20"/>
              </w:rPr>
              <w:t>数量指标</w:t>
            </w:r>
          </w:p>
        </w:tc>
        <w:tc>
          <w:tcPr>
            <w:tcW w:w="3000" w:type="dxa"/>
            <w:tcBorders>
              <w:tl2br w:val="nil"/>
              <w:tr2bl w:val="nil"/>
            </w:tcBorders>
            <w:vAlign w:val="center"/>
          </w:tcPr>
          <w:p w14:paraId="0636B2B8">
            <w:pPr>
              <w:keepNext w:val="0"/>
              <w:keepLines w:val="0"/>
              <w:widowControl/>
              <w:suppressLineNumbers w:val="0"/>
              <w:jc w:val="left"/>
              <w:textAlignment w:val="center"/>
              <w:rPr>
                <w:rFonts w:ascii="宋体" w:cs="宋体"/>
                <w:color w:val="auto"/>
                <w:kern w:val="0"/>
                <w:sz w:val="20"/>
                <w:szCs w:val="20"/>
              </w:rPr>
            </w:pPr>
            <w:r>
              <w:rPr>
                <w:rFonts w:hint="eastAsia" w:ascii="宋体" w:hAnsi="宋体" w:eastAsia="宋体" w:cs="宋体"/>
                <w:i w:val="0"/>
                <w:iCs w:val="0"/>
                <w:color w:val="auto"/>
                <w:kern w:val="0"/>
                <w:sz w:val="20"/>
                <w:szCs w:val="20"/>
                <w:u w:val="none"/>
                <w:lang w:val="en-US" w:eastAsia="zh-CN" w:bidi="ar"/>
              </w:rPr>
              <w:t>指标1：HIV、HCV、梅毒检测率</w:t>
            </w:r>
          </w:p>
        </w:tc>
        <w:tc>
          <w:tcPr>
            <w:tcW w:w="3903" w:type="dxa"/>
            <w:gridSpan w:val="2"/>
            <w:tcBorders>
              <w:tl2br w:val="nil"/>
              <w:tr2bl w:val="nil"/>
            </w:tcBorders>
            <w:vAlign w:val="center"/>
          </w:tcPr>
          <w:p w14:paraId="4AA0ADB3">
            <w:pPr>
              <w:keepNext w:val="0"/>
              <w:keepLines w:val="0"/>
              <w:widowControl/>
              <w:suppressLineNumbers w:val="0"/>
              <w:jc w:val="center"/>
              <w:textAlignment w:val="center"/>
              <w:rPr>
                <w:rFonts w:ascii="宋体" w:cs="宋体"/>
                <w:color w:val="auto"/>
                <w:kern w:val="0"/>
                <w:sz w:val="20"/>
                <w:szCs w:val="20"/>
              </w:rPr>
            </w:pPr>
            <w:r>
              <w:rPr>
                <w:rFonts w:hint="eastAsia" w:ascii="宋体" w:hAnsi="宋体" w:eastAsia="宋体" w:cs="宋体"/>
                <w:i w:val="0"/>
                <w:iCs w:val="0"/>
                <w:color w:val="auto"/>
                <w:kern w:val="0"/>
                <w:sz w:val="20"/>
                <w:szCs w:val="20"/>
                <w:u w:val="none"/>
                <w:lang w:val="en-US" w:eastAsia="zh-CN" w:bidi="ar"/>
              </w:rPr>
              <w:t>≥80%</w:t>
            </w:r>
          </w:p>
        </w:tc>
      </w:tr>
      <w:tr w14:paraId="38566D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3" w:hRule="atLeast"/>
          <w:jc w:val="center"/>
        </w:trPr>
        <w:tc>
          <w:tcPr>
            <w:tcW w:w="438" w:type="dxa"/>
            <w:vMerge w:val="continue"/>
            <w:tcBorders>
              <w:tl2br w:val="nil"/>
              <w:tr2bl w:val="nil"/>
            </w:tcBorders>
            <w:vAlign w:val="center"/>
          </w:tcPr>
          <w:p w14:paraId="0D0A15A8">
            <w:pPr>
              <w:keepNext w:val="0"/>
              <w:keepLines w:val="0"/>
              <w:pageBreakBefore w:val="0"/>
              <w:kinsoku/>
              <w:wordWrap/>
              <w:overflowPunct/>
              <w:topLinePunct w:val="0"/>
              <w:autoSpaceDE/>
              <w:autoSpaceDN/>
              <w:bidi w:val="0"/>
              <w:adjustRightInd/>
              <w:snapToGrid/>
              <w:spacing w:line="240" w:lineRule="auto"/>
              <w:jc w:val="center"/>
              <w:rPr>
                <w:rFonts w:ascii="宋体" w:cs="宋体"/>
                <w:color w:val="auto"/>
                <w:kern w:val="0"/>
                <w:sz w:val="20"/>
                <w:szCs w:val="20"/>
              </w:rPr>
            </w:pPr>
          </w:p>
        </w:tc>
        <w:tc>
          <w:tcPr>
            <w:tcW w:w="723" w:type="dxa"/>
            <w:vMerge w:val="continue"/>
            <w:tcBorders>
              <w:tl2br w:val="nil"/>
              <w:tr2bl w:val="nil"/>
            </w:tcBorders>
            <w:vAlign w:val="center"/>
          </w:tcPr>
          <w:p w14:paraId="737A486C">
            <w:pPr>
              <w:keepNext w:val="0"/>
              <w:keepLines w:val="0"/>
              <w:pageBreakBefore w:val="0"/>
              <w:kinsoku/>
              <w:wordWrap/>
              <w:overflowPunct/>
              <w:topLinePunct w:val="0"/>
              <w:autoSpaceDE/>
              <w:autoSpaceDN/>
              <w:bidi w:val="0"/>
              <w:adjustRightInd/>
              <w:snapToGrid/>
              <w:spacing w:line="240" w:lineRule="auto"/>
              <w:jc w:val="center"/>
              <w:rPr>
                <w:rFonts w:ascii="宋体" w:cs="宋体"/>
                <w:color w:val="auto"/>
                <w:kern w:val="0"/>
                <w:sz w:val="20"/>
                <w:szCs w:val="20"/>
              </w:rPr>
            </w:pPr>
          </w:p>
        </w:tc>
        <w:tc>
          <w:tcPr>
            <w:tcW w:w="956" w:type="dxa"/>
            <w:gridSpan w:val="2"/>
            <w:tcBorders>
              <w:tl2br w:val="nil"/>
              <w:tr2bl w:val="nil"/>
            </w:tcBorders>
            <w:vAlign w:val="center"/>
          </w:tcPr>
          <w:p w14:paraId="27057094">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ascii="宋体" w:cs="宋体"/>
                <w:color w:val="auto"/>
                <w:kern w:val="0"/>
                <w:sz w:val="20"/>
                <w:szCs w:val="20"/>
              </w:rPr>
            </w:pPr>
            <w:r>
              <w:rPr>
                <w:rFonts w:hint="eastAsia" w:ascii="宋体" w:hAnsi="宋体" w:eastAsia="宋体" w:cs="宋体"/>
                <w:color w:val="auto"/>
                <w:kern w:val="0"/>
                <w:sz w:val="20"/>
                <w:szCs w:val="20"/>
              </w:rPr>
              <w:t>质量指标</w:t>
            </w:r>
          </w:p>
        </w:tc>
        <w:tc>
          <w:tcPr>
            <w:tcW w:w="3000" w:type="dxa"/>
            <w:tcBorders>
              <w:tl2br w:val="nil"/>
              <w:tr2bl w:val="nil"/>
            </w:tcBorders>
            <w:vAlign w:val="center"/>
          </w:tcPr>
          <w:p w14:paraId="3C517070">
            <w:pPr>
              <w:keepNext w:val="0"/>
              <w:keepLines w:val="0"/>
              <w:widowControl/>
              <w:suppressLineNumbers w:val="0"/>
              <w:jc w:val="left"/>
              <w:textAlignment w:val="center"/>
              <w:rPr>
                <w:rFonts w:ascii="宋体" w:cs="宋体"/>
                <w:color w:val="auto"/>
                <w:kern w:val="0"/>
                <w:sz w:val="20"/>
                <w:szCs w:val="20"/>
              </w:rPr>
            </w:pPr>
            <w:r>
              <w:rPr>
                <w:rFonts w:hint="eastAsia" w:ascii="宋体" w:hAnsi="宋体" w:eastAsia="宋体" w:cs="宋体"/>
                <w:i w:val="0"/>
                <w:iCs w:val="0"/>
                <w:color w:val="auto"/>
                <w:kern w:val="0"/>
                <w:sz w:val="20"/>
                <w:szCs w:val="20"/>
                <w:u w:val="none"/>
                <w:lang w:val="en-US" w:eastAsia="zh-CN" w:bidi="ar"/>
              </w:rPr>
              <w:t>指标1：社区美沙酮维持治疗门诊麻醉药品储存、发放、使用、管理安全规范</w:t>
            </w:r>
          </w:p>
        </w:tc>
        <w:tc>
          <w:tcPr>
            <w:tcW w:w="3903" w:type="dxa"/>
            <w:gridSpan w:val="2"/>
            <w:tcBorders>
              <w:tl2br w:val="nil"/>
              <w:tr2bl w:val="nil"/>
            </w:tcBorders>
            <w:vAlign w:val="center"/>
          </w:tcPr>
          <w:p w14:paraId="56E5EB38">
            <w:pPr>
              <w:keepNext w:val="0"/>
              <w:keepLines w:val="0"/>
              <w:widowControl/>
              <w:suppressLineNumbers w:val="0"/>
              <w:jc w:val="center"/>
              <w:textAlignment w:val="center"/>
              <w:rPr>
                <w:rFonts w:ascii="宋体" w:cs="宋体"/>
                <w:color w:val="auto"/>
                <w:kern w:val="0"/>
                <w:sz w:val="20"/>
                <w:szCs w:val="20"/>
              </w:rPr>
            </w:pPr>
            <w:r>
              <w:rPr>
                <w:rFonts w:hint="eastAsia" w:ascii="宋体" w:hAnsi="宋体" w:eastAsia="宋体" w:cs="宋体"/>
                <w:i w:val="0"/>
                <w:iCs w:val="0"/>
                <w:color w:val="auto"/>
                <w:kern w:val="0"/>
                <w:sz w:val="20"/>
                <w:szCs w:val="20"/>
                <w:u w:val="none"/>
                <w:lang w:val="en-US" w:eastAsia="zh-CN" w:bidi="ar"/>
              </w:rPr>
              <w:t>无差错</w:t>
            </w:r>
          </w:p>
        </w:tc>
      </w:tr>
      <w:tr w14:paraId="44A8D3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3" w:hRule="atLeast"/>
          <w:jc w:val="center"/>
        </w:trPr>
        <w:tc>
          <w:tcPr>
            <w:tcW w:w="438" w:type="dxa"/>
            <w:vMerge w:val="continue"/>
            <w:tcBorders>
              <w:tl2br w:val="nil"/>
              <w:tr2bl w:val="nil"/>
            </w:tcBorders>
            <w:vAlign w:val="center"/>
          </w:tcPr>
          <w:p w14:paraId="6F2233B6">
            <w:pPr>
              <w:keepNext w:val="0"/>
              <w:keepLines w:val="0"/>
              <w:pageBreakBefore w:val="0"/>
              <w:kinsoku/>
              <w:wordWrap/>
              <w:overflowPunct/>
              <w:topLinePunct w:val="0"/>
              <w:autoSpaceDE/>
              <w:autoSpaceDN/>
              <w:bidi w:val="0"/>
              <w:adjustRightInd/>
              <w:snapToGrid/>
              <w:spacing w:line="240" w:lineRule="auto"/>
              <w:jc w:val="center"/>
              <w:rPr>
                <w:rFonts w:ascii="宋体" w:cs="宋体"/>
                <w:color w:val="auto"/>
                <w:kern w:val="0"/>
                <w:sz w:val="20"/>
                <w:szCs w:val="20"/>
              </w:rPr>
            </w:pPr>
          </w:p>
        </w:tc>
        <w:tc>
          <w:tcPr>
            <w:tcW w:w="723" w:type="dxa"/>
            <w:vMerge w:val="continue"/>
            <w:tcBorders>
              <w:tl2br w:val="nil"/>
              <w:tr2bl w:val="nil"/>
            </w:tcBorders>
            <w:vAlign w:val="center"/>
          </w:tcPr>
          <w:p w14:paraId="541BABAA">
            <w:pPr>
              <w:keepNext w:val="0"/>
              <w:keepLines w:val="0"/>
              <w:pageBreakBefore w:val="0"/>
              <w:kinsoku/>
              <w:wordWrap/>
              <w:overflowPunct/>
              <w:topLinePunct w:val="0"/>
              <w:autoSpaceDE/>
              <w:autoSpaceDN/>
              <w:bidi w:val="0"/>
              <w:adjustRightInd/>
              <w:snapToGrid/>
              <w:spacing w:line="240" w:lineRule="auto"/>
              <w:jc w:val="center"/>
              <w:rPr>
                <w:rFonts w:ascii="宋体" w:cs="宋体"/>
                <w:color w:val="auto"/>
                <w:kern w:val="0"/>
                <w:sz w:val="20"/>
                <w:szCs w:val="20"/>
              </w:rPr>
            </w:pPr>
          </w:p>
        </w:tc>
        <w:tc>
          <w:tcPr>
            <w:tcW w:w="956" w:type="dxa"/>
            <w:gridSpan w:val="2"/>
            <w:tcBorders>
              <w:tl2br w:val="nil"/>
              <w:tr2bl w:val="nil"/>
            </w:tcBorders>
            <w:vAlign w:val="center"/>
          </w:tcPr>
          <w:p w14:paraId="53E256FB">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ascii="宋体" w:cs="宋体"/>
                <w:color w:val="auto"/>
                <w:kern w:val="0"/>
                <w:sz w:val="20"/>
                <w:szCs w:val="20"/>
              </w:rPr>
            </w:pPr>
            <w:r>
              <w:rPr>
                <w:rFonts w:hint="eastAsia" w:ascii="宋体" w:hAnsi="宋体" w:eastAsia="宋体" w:cs="宋体"/>
                <w:color w:val="auto"/>
                <w:kern w:val="0"/>
                <w:sz w:val="20"/>
                <w:szCs w:val="20"/>
              </w:rPr>
              <w:t>时效指标</w:t>
            </w:r>
          </w:p>
        </w:tc>
        <w:tc>
          <w:tcPr>
            <w:tcW w:w="3000" w:type="dxa"/>
            <w:tcBorders>
              <w:tl2br w:val="nil"/>
              <w:tr2bl w:val="nil"/>
            </w:tcBorders>
            <w:vAlign w:val="center"/>
          </w:tcPr>
          <w:p w14:paraId="06E7B52D">
            <w:pPr>
              <w:keepNext w:val="0"/>
              <w:keepLines w:val="0"/>
              <w:widowControl/>
              <w:suppressLineNumbers w:val="0"/>
              <w:jc w:val="left"/>
              <w:textAlignment w:val="center"/>
              <w:rPr>
                <w:rFonts w:ascii="宋体" w:cs="宋体"/>
                <w:color w:val="auto"/>
                <w:kern w:val="0"/>
                <w:sz w:val="20"/>
                <w:szCs w:val="20"/>
              </w:rPr>
            </w:pPr>
            <w:r>
              <w:rPr>
                <w:rFonts w:hint="eastAsia" w:ascii="宋体" w:hAnsi="宋体" w:eastAsia="宋体" w:cs="宋体"/>
                <w:i w:val="0"/>
                <w:iCs w:val="0"/>
                <w:color w:val="auto"/>
                <w:kern w:val="0"/>
                <w:sz w:val="20"/>
                <w:szCs w:val="20"/>
                <w:u w:val="none"/>
                <w:lang w:val="en-US" w:eastAsia="zh-CN" w:bidi="ar"/>
              </w:rPr>
              <w:t>指标1：年维持治疗率</w:t>
            </w:r>
          </w:p>
        </w:tc>
        <w:tc>
          <w:tcPr>
            <w:tcW w:w="3903" w:type="dxa"/>
            <w:gridSpan w:val="2"/>
            <w:tcBorders>
              <w:tl2br w:val="nil"/>
              <w:tr2bl w:val="nil"/>
            </w:tcBorders>
            <w:vAlign w:val="center"/>
          </w:tcPr>
          <w:p w14:paraId="2E95376F">
            <w:pPr>
              <w:keepNext w:val="0"/>
              <w:keepLines w:val="0"/>
              <w:widowControl/>
              <w:suppressLineNumbers w:val="0"/>
              <w:jc w:val="center"/>
              <w:textAlignment w:val="center"/>
              <w:rPr>
                <w:rFonts w:ascii="宋体" w:cs="宋体"/>
                <w:color w:val="auto"/>
                <w:kern w:val="0"/>
                <w:sz w:val="20"/>
                <w:szCs w:val="20"/>
              </w:rPr>
            </w:pPr>
            <w:r>
              <w:rPr>
                <w:rFonts w:hint="eastAsia" w:ascii="宋体" w:hAnsi="宋体" w:eastAsia="宋体" w:cs="宋体"/>
                <w:i w:val="0"/>
                <w:iCs w:val="0"/>
                <w:color w:val="auto"/>
                <w:kern w:val="0"/>
                <w:sz w:val="20"/>
                <w:szCs w:val="20"/>
                <w:u w:val="none"/>
                <w:lang w:val="en-US" w:eastAsia="zh-CN" w:bidi="ar"/>
              </w:rPr>
              <w:t>≥85%</w:t>
            </w:r>
          </w:p>
        </w:tc>
      </w:tr>
      <w:tr w14:paraId="602982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3" w:hRule="atLeast"/>
          <w:jc w:val="center"/>
        </w:trPr>
        <w:tc>
          <w:tcPr>
            <w:tcW w:w="438" w:type="dxa"/>
            <w:vMerge w:val="continue"/>
            <w:tcBorders>
              <w:tl2br w:val="nil"/>
              <w:tr2bl w:val="nil"/>
            </w:tcBorders>
            <w:vAlign w:val="center"/>
          </w:tcPr>
          <w:p w14:paraId="3B24E822">
            <w:pPr>
              <w:keepNext w:val="0"/>
              <w:keepLines w:val="0"/>
              <w:pageBreakBefore w:val="0"/>
              <w:kinsoku/>
              <w:wordWrap/>
              <w:overflowPunct/>
              <w:topLinePunct w:val="0"/>
              <w:autoSpaceDE/>
              <w:autoSpaceDN/>
              <w:bidi w:val="0"/>
              <w:adjustRightInd/>
              <w:snapToGrid/>
              <w:spacing w:line="240" w:lineRule="auto"/>
              <w:jc w:val="center"/>
              <w:rPr>
                <w:rFonts w:ascii="宋体" w:cs="宋体"/>
                <w:color w:val="auto"/>
                <w:kern w:val="0"/>
                <w:sz w:val="20"/>
                <w:szCs w:val="20"/>
              </w:rPr>
            </w:pPr>
          </w:p>
        </w:tc>
        <w:tc>
          <w:tcPr>
            <w:tcW w:w="723" w:type="dxa"/>
            <w:vMerge w:val="continue"/>
            <w:tcBorders>
              <w:tl2br w:val="nil"/>
              <w:tr2bl w:val="nil"/>
            </w:tcBorders>
            <w:vAlign w:val="center"/>
          </w:tcPr>
          <w:p w14:paraId="3A0ED8B1">
            <w:pPr>
              <w:keepNext w:val="0"/>
              <w:keepLines w:val="0"/>
              <w:pageBreakBefore w:val="0"/>
              <w:kinsoku/>
              <w:wordWrap/>
              <w:overflowPunct/>
              <w:topLinePunct w:val="0"/>
              <w:autoSpaceDE/>
              <w:autoSpaceDN/>
              <w:bidi w:val="0"/>
              <w:adjustRightInd/>
              <w:snapToGrid/>
              <w:spacing w:line="240" w:lineRule="auto"/>
              <w:jc w:val="center"/>
              <w:rPr>
                <w:rFonts w:ascii="宋体" w:cs="宋体"/>
                <w:color w:val="auto"/>
                <w:kern w:val="0"/>
                <w:sz w:val="20"/>
                <w:szCs w:val="20"/>
              </w:rPr>
            </w:pPr>
          </w:p>
        </w:tc>
        <w:tc>
          <w:tcPr>
            <w:tcW w:w="956" w:type="dxa"/>
            <w:gridSpan w:val="2"/>
            <w:tcBorders>
              <w:tl2br w:val="nil"/>
              <w:tr2bl w:val="nil"/>
            </w:tcBorders>
            <w:vAlign w:val="center"/>
          </w:tcPr>
          <w:p w14:paraId="236D0A56">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ascii="宋体" w:cs="宋体"/>
                <w:color w:val="auto"/>
                <w:kern w:val="0"/>
                <w:sz w:val="20"/>
                <w:szCs w:val="20"/>
              </w:rPr>
            </w:pPr>
            <w:r>
              <w:rPr>
                <w:rFonts w:hint="eastAsia" w:ascii="宋体" w:hAnsi="宋体" w:eastAsia="宋体" w:cs="宋体"/>
                <w:color w:val="auto"/>
                <w:kern w:val="0"/>
                <w:sz w:val="20"/>
                <w:szCs w:val="20"/>
              </w:rPr>
              <w:t>成本指标</w:t>
            </w:r>
          </w:p>
        </w:tc>
        <w:tc>
          <w:tcPr>
            <w:tcW w:w="3000" w:type="dxa"/>
            <w:tcBorders>
              <w:tl2br w:val="nil"/>
              <w:tr2bl w:val="nil"/>
            </w:tcBorders>
            <w:vAlign w:val="center"/>
          </w:tcPr>
          <w:p w14:paraId="5AFD43F2">
            <w:pPr>
              <w:keepNext w:val="0"/>
              <w:keepLines w:val="0"/>
              <w:widowControl/>
              <w:suppressLineNumbers w:val="0"/>
              <w:jc w:val="left"/>
              <w:textAlignment w:val="center"/>
              <w:rPr>
                <w:rFonts w:ascii="宋体" w:cs="宋体"/>
                <w:color w:val="auto"/>
                <w:kern w:val="0"/>
                <w:sz w:val="20"/>
                <w:szCs w:val="20"/>
              </w:rPr>
            </w:pPr>
            <w:r>
              <w:rPr>
                <w:rFonts w:hint="eastAsia" w:ascii="宋体" w:hAnsi="宋体" w:eastAsia="宋体" w:cs="宋体"/>
                <w:i w:val="0"/>
                <w:iCs w:val="0"/>
                <w:color w:val="auto"/>
                <w:kern w:val="0"/>
                <w:sz w:val="20"/>
                <w:szCs w:val="20"/>
                <w:u w:val="none"/>
                <w:lang w:val="en-US" w:eastAsia="zh-CN" w:bidi="ar"/>
              </w:rPr>
              <w:t>指标1：项目总经费</w:t>
            </w:r>
          </w:p>
        </w:tc>
        <w:tc>
          <w:tcPr>
            <w:tcW w:w="3903" w:type="dxa"/>
            <w:gridSpan w:val="2"/>
            <w:tcBorders>
              <w:tl2br w:val="nil"/>
              <w:tr2bl w:val="nil"/>
            </w:tcBorders>
            <w:vAlign w:val="center"/>
          </w:tcPr>
          <w:p w14:paraId="15CE98E6">
            <w:pPr>
              <w:keepNext w:val="0"/>
              <w:keepLines w:val="0"/>
              <w:widowControl/>
              <w:suppressLineNumbers w:val="0"/>
              <w:jc w:val="center"/>
              <w:textAlignment w:val="center"/>
              <w:rPr>
                <w:rFonts w:ascii="宋体" w:cs="宋体"/>
                <w:color w:val="auto"/>
                <w:kern w:val="0"/>
                <w:sz w:val="20"/>
                <w:szCs w:val="20"/>
              </w:rPr>
            </w:pPr>
            <w:r>
              <w:rPr>
                <w:rFonts w:hint="eastAsia" w:ascii="宋体" w:hAnsi="宋体" w:eastAsia="宋体" w:cs="宋体"/>
                <w:i w:val="0"/>
                <w:iCs w:val="0"/>
                <w:color w:val="auto"/>
                <w:kern w:val="0"/>
                <w:sz w:val="20"/>
                <w:szCs w:val="20"/>
                <w:u w:val="none"/>
                <w:lang w:val="en-US" w:eastAsia="zh-CN" w:bidi="ar"/>
              </w:rPr>
              <w:t>≤16万元</w:t>
            </w:r>
          </w:p>
        </w:tc>
      </w:tr>
      <w:tr w14:paraId="20EE3A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3" w:hRule="atLeast"/>
          <w:jc w:val="center"/>
        </w:trPr>
        <w:tc>
          <w:tcPr>
            <w:tcW w:w="438" w:type="dxa"/>
            <w:vMerge w:val="continue"/>
            <w:tcBorders>
              <w:tl2br w:val="nil"/>
              <w:tr2bl w:val="nil"/>
            </w:tcBorders>
            <w:vAlign w:val="center"/>
          </w:tcPr>
          <w:p w14:paraId="2947EABB">
            <w:pPr>
              <w:keepNext w:val="0"/>
              <w:keepLines w:val="0"/>
              <w:pageBreakBefore w:val="0"/>
              <w:kinsoku/>
              <w:wordWrap/>
              <w:overflowPunct/>
              <w:topLinePunct w:val="0"/>
              <w:autoSpaceDE/>
              <w:autoSpaceDN/>
              <w:bidi w:val="0"/>
              <w:adjustRightInd/>
              <w:snapToGrid/>
              <w:spacing w:line="240" w:lineRule="auto"/>
              <w:jc w:val="center"/>
              <w:rPr>
                <w:rFonts w:ascii="宋体" w:cs="宋体"/>
                <w:color w:val="auto"/>
                <w:kern w:val="0"/>
                <w:sz w:val="20"/>
                <w:szCs w:val="20"/>
              </w:rPr>
            </w:pPr>
          </w:p>
        </w:tc>
        <w:tc>
          <w:tcPr>
            <w:tcW w:w="723" w:type="dxa"/>
            <w:vMerge w:val="restart"/>
            <w:tcBorders>
              <w:tl2br w:val="nil"/>
              <w:tr2bl w:val="nil"/>
            </w:tcBorders>
            <w:vAlign w:val="center"/>
          </w:tcPr>
          <w:p w14:paraId="6D92A19D">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ascii="宋体" w:cs="宋体"/>
                <w:color w:val="auto"/>
                <w:kern w:val="0"/>
                <w:sz w:val="20"/>
                <w:szCs w:val="20"/>
              </w:rPr>
            </w:pPr>
            <w:r>
              <w:rPr>
                <w:rFonts w:hint="eastAsia" w:ascii="宋体" w:hAnsi="宋体" w:eastAsia="宋体" w:cs="宋体"/>
                <w:color w:val="auto"/>
                <w:kern w:val="0"/>
                <w:sz w:val="20"/>
                <w:szCs w:val="20"/>
              </w:rPr>
              <w:t>效益指标</w:t>
            </w:r>
          </w:p>
        </w:tc>
        <w:tc>
          <w:tcPr>
            <w:tcW w:w="956" w:type="dxa"/>
            <w:gridSpan w:val="2"/>
            <w:tcBorders>
              <w:tl2br w:val="nil"/>
              <w:tr2bl w:val="nil"/>
            </w:tcBorders>
            <w:vAlign w:val="center"/>
          </w:tcPr>
          <w:p w14:paraId="0BA4BCDC">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ascii="宋体" w:cs="宋体"/>
                <w:color w:val="auto"/>
                <w:kern w:val="0"/>
                <w:sz w:val="20"/>
                <w:szCs w:val="20"/>
              </w:rPr>
            </w:pPr>
            <w:r>
              <w:rPr>
                <w:rFonts w:hint="eastAsia" w:ascii="宋体" w:hAnsi="宋体" w:eastAsia="宋体" w:cs="宋体"/>
                <w:color w:val="auto"/>
                <w:kern w:val="0"/>
                <w:sz w:val="20"/>
                <w:szCs w:val="20"/>
              </w:rPr>
              <w:t>经济效益指标</w:t>
            </w:r>
          </w:p>
        </w:tc>
        <w:tc>
          <w:tcPr>
            <w:tcW w:w="3000" w:type="dxa"/>
            <w:tcBorders>
              <w:tl2br w:val="nil"/>
              <w:tr2bl w:val="nil"/>
            </w:tcBorders>
            <w:vAlign w:val="center"/>
          </w:tcPr>
          <w:p w14:paraId="522053F1">
            <w:pPr>
              <w:keepNext w:val="0"/>
              <w:keepLines w:val="0"/>
              <w:widowControl/>
              <w:suppressLineNumbers w:val="0"/>
              <w:jc w:val="left"/>
              <w:textAlignment w:val="center"/>
              <w:rPr>
                <w:rFonts w:ascii="宋体" w:cs="宋体"/>
                <w:color w:val="auto"/>
                <w:kern w:val="0"/>
                <w:sz w:val="20"/>
                <w:szCs w:val="20"/>
              </w:rPr>
            </w:pPr>
            <w:r>
              <w:rPr>
                <w:rFonts w:hint="eastAsia" w:ascii="宋体" w:hAnsi="宋体" w:eastAsia="宋体" w:cs="宋体"/>
                <w:i w:val="0"/>
                <w:iCs w:val="0"/>
                <w:color w:val="auto"/>
                <w:kern w:val="0"/>
                <w:sz w:val="20"/>
                <w:szCs w:val="20"/>
                <w:u w:val="none"/>
                <w:lang w:val="en-US" w:eastAsia="zh-CN" w:bidi="ar"/>
              </w:rPr>
              <w:t>指标1：减少违法犯罪，促进经济发展</w:t>
            </w:r>
          </w:p>
        </w:tc>
        <w:tc>
          <w:tcPr>
            <w:tcW w:w="3903" w:type="dxa"/>
            <w:gridSpan w:val="2"/>
            <w:tcBorders>
              <w:tl2br w:val="nil"/>
              <w:tr2bl w:val="nil"/>
            </w:tcBorders>
            <w:vAlign w:val="center"/>
          </w:tcPr>
          <w:p w14:paraId="6DD7515E">
            <w:pPr>
              <w:keepNext w:val="0"/>
              <w:keepLines w:val="0"/>
              <w:widowControl/>
              <w:suppressLineNumbers w:val="0"/>
              <w:jc w:val="center"/>
              <w:textAlignment w:val="center"/>
              <w:rPr>
                <w:rFonts w:hint="eastAsia" w:ascii="宋体" w:cs="宋体" w:eastAsiaTheme="minorEastAsia"/>
                <w:color w:val="auto"/>
                <w:kern w:val="0"/>
                <w:sz w:val="20"/>
                <w:szCs w:val="20"/>
                <w:lang w:val="en-US" w:eastAsia="zh-CN"/>
              </w:rPr>
            </w:pPr>
            <w:r>
              <w:rPr>
                <w:rFonts w:hint="eastAsia" w:ascii="宋体" w:hAnsi="宋体" w:eastAsia="宋体" w:cs="宋体"/>
                <w:i w:val="0"/>
                <w:iCs w:val="0"/>
                <w:color w:val="auto"/>
                <w:kern w:val="0"/>
                <w:sz w:val="20"/>
                <w:szCs w:val="20"/>
                <w:u w:val="none"/>
                <w:lang w:val="en-US" w:eastAsia="zh-CN" w:bidi="ar"/>
              </w:rPr>
              <w:t>不断提高</w:t>
            </w:r>
          </w:p>
        </w:tc>
      </w:tr>
      <w:tr w14:paraId="0362D7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3" w:hRule="atLeast"/>
          <w:jc w:val="center"/>
        </w:trPr>
        <w:tc>
          <w:tcPr>
            <w:tcW w:w="438" w:type="dxa"/>
            <w:vMerge w:val="continue"/>
            <w:tcBorders>
              <w:tl2br w:val="nil"/>
              <w:tr2bl w:val="nil"/>
            </w:tcBorders>
            <w:vAlign w:val="center"/>
          </w:tcPr>
          <w:p w14:paraId="2125BB99">
            <w:pPr>
              <w:keepNext w:val="0"/>
              <w:keepLines w:val="0"/>
              <w:pageBreakBefore w:val="0"/>
              <w:kinsoku/>
              <w:wordWrap/>
              <w:overflowPunct/>
              <w:topLinePunct w:val="0"/>
              <w:autoSpaceDE/>
              <w:autoSpaceDN/>
              <w:bidi w:val="0"/>
              <w:adjustRightInd/>
              <w:snapToGrid/>
              <w:spacing w:line="240" w:lineRule="auto"/>
              <w:jc w:val="center"/>
              <w:rPr>
                <w:rFonts w:ascii="宋体" w:cs="宋体"/>
                <w:color w:val="auto"/>
                <w:kern w:val="0"/>
                <w:sz w:val="20"/>
                <w:szCs w:val="20"/>
              </w:rPr>
            </w:pPr>
          </w:p>
        </w:tc>
        <w:tc>
          <w:tcPr>
            <w:tcW w:w="723" w:type="dxa"/>
            <w:vMerge w:val="continue"/>
            <w:tcBorders>
              <w:tl2br w:val="nil"/>
              <w:tr2bl w:val="nil"/>
            </w:tcBorders>
            <w:vAlign w:val="center"/>
          </w:tcPr>
          <w:p w14:paraId="3534A347">
            <w:pPr>
              <w:keepNext w:val="0"/>
              <w:keepLines w:val="0"/>
              <w:pageBreakBefore w:val="0"/>
              <w:kinsoku/>
              <w:wordWrap/>
              <w:overflowPunct/>
              <w:topLinePunct w:val="0"/>
              <w:autoSpaceDE/>
              <w:autoSpaceDN/>
              <w:bidi w:val="0"/>
              <w:adjustRightInd/>
              <w:snapToGrid/>
              <w:spacing w:line="240" w:lineRule="auto"/>
              <w:jc w:val="center"/>
              <w:rPr>
                <w:rFonts w:ascii="宋体" w:cs="宋体"/>
                <w:color w:val="auto"/>
                <w:kern w:val="0"/>
                <w:sz w:val="20"/>
                <w:szCs w:val="20"/>
              </w:rPr>
            </w:pPr>
          </w:p>
        </w:tc>
        <w:tc>
          <w:tcPr>
            <w:tcW w:w="956" w:type="dxa"/>
            <w:gridSpan w:val="2"/>
            <w:tcBorders>
              <w:tl2br w:val="nil"/>
              <w:tr2bl w:val="nil"/>
            </w:tcBorders>
            <w:vAlign w:val="center"/>
          </w:tcPr>
          <w:p w14:paraId="65538B96">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ascii="宋体" w:cs="宋体"/>
                <w:color w:val="auto"/>
                <w:kern w:val="0"/>
                <w:sz w:val="20"/>
                <w:szCs w:val="20"/>
              </w:rPr>
            </w:pPr>
            <w:r>
              <w:rPr>
                <w:rFonts w:hint="eastAsia" w:ascii="宋体" w:hAnsi="宋体" w:eastAsia="宋体" w:cs="宋体"/>
                <w:color w:val="auto"/>
                <w:kern w:val="0"/>
                <w:sz w:val="20"/>
                <w:szCs w:val="20"/>
              </w:rPr>
              <w:t>社会效益指标</w:t>
            </w:r>
          </w:p>
        </w:tc>
        <w:tc>
          <w:tcPr>
            <w:tcW w:w="3000" w:type="dxa"/>
            <w:tcBorders>
              <w:tl2br w:val="nil"/>
              <w:tr2bl w:val="nil"/>
            </w:tcBorders>
            <w:vAlign w:val="center"/>
          </w:tcPr>
          <w:p w14:paraId="662F1068">
            <w:pPr>
              <w:keepNext w:val="0"/>
              <w:keepLines w:val="0"/>
              <w:widowControl/>
              <w:suppressLineNumbers w:val="0"/>
              <w:jc w:val="left"/>
              <w:textAlignment w:val="center"/>
              <w:rPr>
                <w:rFonts w:ascii="宋体" w:cs="宋体"/>
                <w:color w:val="auto"/>
                <w:kern w:val="0"/>
                <w:sz w:val="20"/>
                <w:szCs w:val="20"/>
              </w:rPr>
            </w:pPr>
            <w:r>
              <w:rPr>
                <w:rFonts w:hint="eastAsia" w:ascii="宋体" w:hAnsi="宋体" w:eastAsia="宋体" w:cs="宋体"/>
                <w:i w:val="0"/>
                <w:iCs w:val="0"/>
                <w:color w:val="auto"/>
                <w:kern w:val="0"/>
                <w:sz w:val="20"/>
                <w:szCs w:val="20"/>
                <w:u w:val="none"/>
                <w:lang w:val="en-US" w:eastAsia="zh-CN" w:bidi="ar"/>
              </w:rPr>
              <w:t>指标1：减少毒资、萎缩毒品市场、减少违法犯罪</w:t>
            </w:r>
          </w:p>
        </w:tc>
        <w:tc>
          <w:tcPr>
            <w:tcW w:w="3903" w:type="dxa"/>
            <w:gridSpan w:val="2"/>
            <w:tcBorders>
              <w:tl2br w:val="nil"/>
              <w:tr2bl w:val="nil"/>
            </w:tcBorders>
            <w:vAlign w:val="center"/>
          </w:tcPr>
          <w:p w14:paraId="76D8C2E1">
            <w:pPr>
              <w:keepNext w:val="0"/>
              <w:keepLines w:val="0"/>
              <w:widowControl/>
              <w:suppressLineNumbers w:val="0"/>
              <w:jc w:val="center"/>
              <w:textAlignment w:val="center"/>
              <w:rPr>
                <w:rFonts w:hint="default" w:ascii="宋体" w:cs="宋体" w:eastAsiaTheme="minorEastAsia"/>
                <w:color w:val="auto"/>
                <w:kern w:val="0"/>
                <w:sz w:val="20"/>
                <w:szCs w:val="20"/>
                <w:lang w:val="en-US" w:eastAsia="zh-CN"/>
              </w:rPr>
            </w:pPr>
            <w:r>
              <w:rPr>
                <w:rFonts w:hint="eastAsia" w:ascii="宋体" w:hAnsi="宋体" w:eastAsia="宋体" w:cs="宋体"/>
                <w:i w:val="0"/>
                <w:iCs w:val="0"/>
                <w:color w:val="auto"/>
                <w:kern w:val="0"/>
                <w:sz w:val="20"/>
                <w:szCs w:val="20"/>
                <w:u w:val="none"/>
                <w:lang w:val="en-US" w:eastAsia="zh-CN" w:bidi="ar"/>
              </w:rPr>
              <w:t>不断提高</w:t>
            </w:r>
          </w:p>
        </w:tc>
      </w:tr>
      <w:tr w14:paraId="545CAA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3" w:hRule="atLeast"/>
          <w:jc w:val="center"/>
        </w:trPr>
        <w:tc>
          <w:tcPr>
            <w:tcW w:w="438" w:type="dxa"/>
            <w:vMerge w:val="continue"/>
            <w:tcBorders>
              <w:tl2br w:val="nil"/>
              <w:tr2bl w:val="nil"/>
            </w:tcBorders>
            <w:vAlign w:val="center"/>
          </w:tcPr>
          <w:p w14:paraId="6A389158">
            <w:pPr>
              <w:keepNext w:val="0"/>
              <w:keepLines w:val="0"/>
              <w:pageBreakBefore w:val="0"/>
              <w:kinsoku/>
              <w:wordWrap/>
              <w:overflowPunct/>
              <w:topLinePunct w:val="0"/>
              <w:autoSpaceDE/>
              <w:autoSpaceDN/>
              <w:bidi w:val="0"/>
              <w:adjustRightInd/>
              <w:snapToGrid/>
              <w:spacing w:line="240" w:lineRule="auto"/>
              <w:jc w:val="center"/>
              <w:rPr>
                <w:rFonts w:ascii="宋体" w:cs="宋体"/>
                <w:color w:val="auto"/>
                <w:kern w:val="0"/>
                <w:sz w:val="20"/>
                <w:szCs w:val="20"/>
              </w:rPr>
            </w:pPr>
          </w:p>
        </w:tc>
        <w:tc>
          <w:tcPr>
            <w:tcW w:w="723" w:type="dxa"/>
            <w:vMerge w:val="continue"/>
            <w:tcBorders>
              <w:tl2br w:val="nil"/>
              <w:tr2bl w:val="nil"/>
            </w:tcBorders>
            <w:vAlign w:val="center"/>
          </w:tcPr>
          <w:p w14:paraId="42B97D5F">
            <w:pPr>
              <w:keepNext w:val="0"/>
              <w:keepLines w:val="0"/>
              <w:pageBreakBefore w:val="0"/>
              <w:kinsoku/>
              <w:wordWrap/>
              <w:overflowPunct/>
              <w:topLinePunct w:val="0"/>
              <w:autoSpaceDE/>
              <w:autoSpaceDN/>
              <w:bidi w:val="0"/>
              <w:adjustRightInd/>
              <w:snapToGrid/>
              <w:spacing w:line="240" w:lineRule="auto"/>
              <w:jc w:val="center"/>
              <w:rPr>
                <w:rFonts w:ascii="宋体" w:cs="宋体"/>
                <w:color w:val="auto"/>
                <w:kern w:val="0"/>
                <w:sz w:val="20"/>
                <w:szCs w:val="20"/>
              </w:rPr>
            </w:pPr>
          </w:p>
        </w:tc>
        <w:tc>
          <w:tcPr>
            <w:tcW w:w="956" w:type="dxa"/>
            <w:gridSpan w:val="2"/>
            <w:tcBorders>
              <w:tl2br w:val="nil"/>
              <w:tr2bl w:val="nil"/>
            </w:tcBorders>
            <w:vAlign w:val="center"/>
          </w:tcPr>
          <w:p w14:paraId="13CB391D">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ascii="宋体" w:cs="宋体"/>
                <w:color w:val="auto"/>
                <w:kern w:val="0"/>
                <w:sz w:val="20"/>
                <w:szCs w:val="20"/>
              </w:rPr>
            </w:pPr>
            <w:r>
              <w:rPr>
                <w:rFonts w:hint="eastAsia" w:ascii="宋体" w:hAnsi="宋体" w:eastAsia="宋体" w:cs="宋体"/>
                <w:color w:val="auto"/>
                <w:kern w:val="0"/>
                <w:sz w:val="20"/>
                <w:szCs w:val="20"/>
              </w:rPr>
              <w:t>生态效益指标</w:t>
            </w:r>
          </w:p>
        </w:tc>
        <w:tc>
          <w:tcPr>
            <w:tcW w:w="3000" w:type="dxa"/>
            <w:tcBorders>
              <w:tl2br w:val="nil"/>
              <w:tr2bl w:val="nil"/>
            </w:tcBorders>
            <w:vAlign w:val="center"/>
          </w:tcPr>
          <w:p w14:paraId="1ABEB543">
            <w:pPr>
              <w:keepNext w:val="0"/>
              <w:keepLines w:val="0"/>
              <w:widowControl/>
              <w:suppressLineNumbers w:val="0"/>
              <w:jc w:val="left"/>
              <w:textAlignment w:val="center"/>
              <w:rPr>
                <w:rFonts w:ascii="宋体" w:cs="宋体"/>
                <w:color w:val="auto"/>
                <w:kern w:val="0"/>
                <w:sz w:val="20"/>
                <w:szCs w:val="20"/>
              </w:rPr>
            </w:pPr>
            <w:r>
              <w:rPr>
                <w:rFonts w:hint="eastAsia" w:ascii="宋体" w:hAnsi="宋体" w:eastAsia="宋体" w:cs="宋体"/>
                <w:i w:val="0"/>
                <w:iCs w:val="0"/>
                <w:color w:val="auto"/>
                <w:kern w:val="0"/>
                <w:sz w:val="20"/>
                <w:szCs w:val="20"/>
                <w:u w:val="none"/>
                <w:lang w:val="en-US" w:eastAsia="zh-CN" w:bidi="ar"/>
              </w:rPr>
              <w:t>指标1：减少环境污染</w:t>
            </w:r>
          </w:p>
        </w:tc>
        <w:tc>
          <w:tcPr>
            <w:tcW w:w="3903" w:type="dxa"/>
            <w:gridSpan w:val="2"/>
            <w:tcBorders>
              <w:tl2br w:val="nil"/>
              <w:tr2bl w:val="nil"/>
            </w:tcBorders>
            <w:vAlign w:val="center"/>
          </w:tcPr>
          <w:p w14:paraId="2801F00A">
            <w:pPr>
              <w:keepNext w:val="0"/>
              <w:keepLines w:val="0"/>
              <w:widowControl/>
              <w:suppressLineNumbers w:val="0"/>
              <w:jc w:val="center"/>
              <w:textAlignment w:val="center"/>
              <w:rPr>
                <w:rFonts w:ascii="宋体" w:cs="宋体"/>
                <w:color w:val="auto"/>
                <w:kern w:val="0"/>
                <w:sz w:val="20"/>
                <w:szCs w:val="20"/>
              </w:rPr>
            </w:pPr>
            <w:r>
              <w:rPr>
                <w:rFonts w:hint="eastAsia" w:ascii="宋体" w:hAnsi="宋体" w:eastAsia="宋体" w:cs="宋体"/>
                <w:i w:val="0"/>
                <w:iCs w:val="0"/>
                <w:color w:val="auto"/>
                <w:kern w:val="0"/>
                <w:sz w:val="20"/>
                <w:szCs w:val="20"/>
                <w:u w:val="none"/>
                <w:lang w:val="en-US" w:eastAsia="zh-CN" w:bidi="ar"/>
              </w:rPr>
              <w:t>不断提高</w:t>
            </w:r>
          </w:p>
        </w:tc>
      </w:tr>
      <w:tr w14:paraId="427431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jc w:val="center"/>
        </w:trPr>
        <w:tc>
          <w:tcPr>
            <w:tcW w:w="438" w:type="dxa"/>
            <w:vMerge w:val="continue"/>
            <w:tcBorders>
              <w:tl2br w:val="nil"/>
              <w:tr2bl w:val="nil"/>
            </w:tcBorders>
            <w:vAlign w:val="center"/>
          </w:tcPr>
          <w:p w14:paraId="78A3B976">
            <w:pPr>
              <w:keepNext w:val="0"/>
              <w:keepLines w:val="0"/>
              <w:pageBreakBefore w:val="0"/>
              <w:kinsoku/>
              <w:wordWrap/>
              <w:overflowPunct/>
              <w:topLinePunct w:val="0"/>
              <w:autoSpaceDE/>
              <w:autoSpaceDN/>
              <w:bidi w:val="0"/>
              <w:adjustRightInd/>
              <w:snapToGrid/>
              <w:spacing w:line="240" w:lineRule="auto"/>
              <w:jc w:val="center"/>
              <w:rPr>
                <w:rFonts w:ascii="宋体" w:cs="宋体"/>
                <w:color w:val="auto"/>
                <w:kern w:val="0"/>
                <w:sz w:val="20"/>
                <w:szCs w:val="20"/>
              </w:rPr>
            </w:pPr>
          </w:p>
        </w:tc>
        <w:tc>
          <w:tcPr>
            <w:tcW w:w="723" w:type="dxa"/>
            <w:vMerge w:val="continue"/>
            <w:tcBorders>
              <w:tl2br w:val="nil"/>
              <w:tr2bl w:val="nil"/>
            </w:tcBorders>
            <w:vAlign w:val="center"/>
          </w:tcPr>
          <w:p w14:paraId="36792CBD">
            <w:pPr>
              <w:keepNext w:val="0"/>
              <w:keepLines w:val="0"/>
              <w:pageBreakBefore w:val="0"/>
              <w:kinsoku/>
              <w:wordWrap/>
              <w:overflowPunct/>
              <w:topLinePunct w:val="0"/>
              <w:autoSpaceDE/>
              <w:autoSpaceDN/>
              <w:bidi w:val="0"/>
              <w:adjustRightInd/>
              <w:snapToGrid/>
              <w:spacing w:line="240" w:lineRule="auto"/>
              <w:jc w:val="center"/>
              <w:rPr>
                <w:rFonts w:ascii="宋体" w:cs="宋体"/>
                <w:color w:val="auto"/>
                <w:kern w:val="0"/>
                <w:sz w:val="20"/>
                <w:szCs w:val="20"/>
              </w:rPr>
            </w:pPr>
          </w:p>
        </w:tc>
        <w:tc>
          <w:tcPr>
            <w:tcW w:w="956" w:type="dxa"/>
            <w:gridSpan w:val="2"/>
            <w:tcBorders>
              <w:tl2br w:val="nil"/>
              <w:tr2bl w:val="nil"/>
            </w:tcBorders>
            <w:vAlign w:val="center"/>
          </w:tcPr>
          <w:p w14:paraId="42BD2D05">
            <w:pPr>
              <w:keepNext w:val="0"/>
              <w:keepLines w:val="0"/>
              <w:pageBreakBefore w:val="0"/>
              <w:widowControl/>
              <w:kinsoku/>
              <w:wordWrap/>
              <w:overflowPunct/>
              <w:topLinePunct w:val="0"/>
              <w:autoSpaceDE/>
              <w:autoSpaceDN/>
              <w:bidi w:val="0"/>
              <w:adjustRightInd/>
              <w:snapToGrid/>
              <w:spacing w:line="240" w:lineRule="auto"/>
              <w:jc w:val="center"/>
              <w:rPr>
                <w:rFonts w:ascii="宋体" w:hAnsi="宋体" w:eastAsia="宋体" w:cs="宋体"/>
                <w:color w:val="auto"/>
                <w:kern w:val="0"/>
                <w:sz w:val="20"/>
                <w:szCs w:val="20"/>
              </w:rPr>
            </w:pPr>
            <w:r>
              <w:rPr>
                <w:rFonts w:hint="eastAsia" w:ascii="宋体" w:hAnsi="宋体" w:eastAsia="宋体" w:cs="宋体"/>
                <w:color w:val="auto"/>
                <w:kern w:val="0"/>
                <w:sz w:val="20"/>
                <w:szCs w:val="20"/>
              </w:rPr>
              <w:t>可持续影响指标</w:t>
            </w:r>
          </w:p>
        </w:tc>
        <w:tc>
          <w:tcPr>
            <w:tcW w:w="3000" w:type="dxa"/>
            <w:tcBorders>
              <w:tl2br w:val="nil"/>
              <w:tr2bl w:val="nil"/>
            </w:tcBorders>
            <w:vAlign w:val="center"/>
          </w:tcPr>
          <w:p w14:paraId="0AEDF5CC">
            <w:pPr>
              <w:keepNext w:val="0"/>
              <w:keepLines w:val="0"/>
              <w:widowControl/>
              <w:suppressLineNumbers w:val="0"/>
              <w:jc w:val="left"/>
              <w:textAlignment w:val="center"/>
              <w:rPr>
                <w:rFonts w:ascii="宋体" w:hAnsi="宋体" w:eastAsia="宋体" w:cs="宋体"/>
                <w:color w:val="auto"/>
                <w:kern w:val="0"/>
                <w:sz w:val="20"/>
                <w:szCs w:val="20"/>
              </w:rPr>
            </w:pPr>
            <w:r>
              <w:rPr>
                <w:rFonts w:hint="eastAsia" w:ascii="宋体" w:hAnsi="宋体" w:eastAsia="宋体" w:cs="宋体"/>
                <w:i w:val="0"/>
                <w:iCs w:val="0"/>
                <w:color w:val="auto"/>
                <w:kern w:val="0"/>
                <w:sz w:val="20"/>
                <w:szCs w:val="20"/>
                <w:u w:val="none"/>
                <w:lang w:val="en-US" w:eastAsia="zh-CN" w:bidi="ar"/>
              </w:rPr>
              <w:t>指标1：促进家庭和谐、社会稳定</w:t>
            </w:r>
          </w:p>
        </w:tc>
        <w:tc>
          <w:tcPr>
            <w:tcW w:w="3903" w:type="dxa"/>
            <w:gridSpan w:val="2"/>
            <w:tcBorders>
              <w:tl2br w:val="nil"/>
              <w:tr2bl w:val="nil"/>
            </w:tcBorders>
            <w:vAlign w:val="center"/>
          </w:tcPr>
          <w:p w14:paraId="648F507E">
            <w:pPr>
              <w:keepNext w:val="0"/>
              <w:keepLines w:val="0"/>
              <w:widowControl/>
              <w:suppressLineNumbers w:val="0"/>
              <w:jc w:val="center"/>
              <w:textAlignment w:val="center"/>
              <w:rPr>
                <w:rFonts w:ascii="宋体" w:cs="宋体"/>
                <w:color w:val="auto"/>
                <w:kern w:val="0"/>
                <w:sz w:val="20"/>
                <w:szCs w:val="20"/>
              </w:rPr>
            </w:pPr>
            <w:r>
              <w:rPr>
                <w:rFonts w:hint="eastAsia" w:ascii="宋体" w:hAnsi="宋体" w:eastAsia="宋体" w:cs="宋体"/>
                <w:i w:val="0"/>
                <w:iCs w:val="0"/>
                <w:color w:val="auto"/>
                <w:kern w:val="0"/>
                <w:sz w:val="20"/>
                <w:szCs w:val="20"/>
                <w:u w:val="none"/>
                <w:lang w:val="en-US" w:eastAsia="zh-CN" w:bidi="ar"/>
              </w:rPr>
              <w:t>不断提高</w:t>
            </w:r>
          </w:p>
        </w:tc>
      </w:tr>
      <w:tr w14:paraId="25FBDB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3" w:hRule="atLeast"/>
          <w:jc w:val="center"/>
        </w:trPr>
        <w:tc>
          <w:tcPr>
            <w:tcW w:w="438" w:type="dxa"/>
            <w:vMerge w:val="continue"/>
            <w:tcBorders>
              <w:tl2br w:val="nil"/>
              <w:tr2bl w:val="nil"/>
            </w:tcBorders>
            <w:vAlign w:val="center"/>
          </w:tcPr>
          <w:p w14:paraId="24171B6A">
            <w:pPr>
              <w:keepNext w:val="0"/>
              <w:keepLines w:val="0"/>
              <w:pageBreakBefore w:val="0"/>
              <w:kinsoku/>
              <w:wordWrap/>
              <w:overflowPunct/>
              <w:topLinePunct w:val="0"/>
              <w:autoSpaceDE/>
              <w:autoSpaceDN/>
              <w:bidi w:val="0"/>
              <w:adjustRightInd/>
              <w:snapToGrid/>
              <w:spacing w:line="240" w:lineRule="auto"/>
              <w:jc w:val="center"/>
              <w:rPr>
                <w:rFonts w:ascii="宋体" w:cs="宋体"/>
                <w:color w:val="auto"/>
                <w:kern w:val="0"/>
                <w:sz w:val="20"/>
                <w:szCs w:val="20"/>
              </w:rPr>
            </w:pPr>
          </w:p>
        </w:tc>
        <w:tc>
          <w:tcPr>
            <w:tcW w:w="723" w:type="dxa"/>
            <w:tcBorders>
              <w:tl2br w:val="nil"/>
              <w:tr2bl w:val="nil"/>
            </w:tcBorders>
            <w:vAlign w:val="center"/>
          </w:tcPr>
          <w:p w14:paraId="3E424C6F">
            <w:pPr>
              <w:keepNext w:val="0"/>
              <w:keepLines w:val="0"/>
              <w:pageBreakBefore w:val="0"/>
              <w:widowControl/>
              <w:kinsoku/>
              <w:wordWrap/>
              <w:overflowPunct/>
              <w:topLinePunct w:val="0"/>
              <w:autoSpaceDE/>
              <w:autoSpaceDN/>
              <w:bidi w:val="0"/>
              <w:adjustRightInd/>
              <w:snapToGrid/>
              <w:spacing w:line="240" w:lineRule="auto"/>
              <w:jc w:val="center"/>
              <w:rPr>
                <w:rFonts w:ascii="宋体" w:hAnsi="宋体" w:eastAsia="宋体" w:cs="宋体"/>
                <w:color w:val="auto"/>
                <w:kern w:val="0"/>
                <w:sz w:val="20"/>
                <w:szCs w:val="20"/>
              </w:rPr>
            </w:pPr>
            <w:r>
              <w:rPr>
                <w:rFonts w:hint="eastAsia" w:ascii="宋体" w:hAnsi="宋体" w:eastAsia="宋体" w:cs="宋体"/>
                <w:color w:val="auto"/>
                <w:kern w:val="0"/>
                <w:sz w:val="20"/>
                <w:szCs w:val="20"/>
              </w:rPr>
              <w:t>满意度指标</w:t>
            </w:r>
          </w:p>
        </w:tc>
        <w:tc>
          <w:tcPr>
            <w:tcW w:w="956" w:type="dxa"/>
            <w:gridSpan w:val="2"/>
            <w:tcBorders>
              <w:tl2br w:val="nil"/>
              <w:tr2bl w:val="nil"/>
            </w:tcBorders>
            <w:vAlign w:val="center"/>
          </w:tcPr>
          <w:p w14:paraId="07FB362F">
            <w:pPr>
              <w:keepNext w:val="0"/>
              <w:keepLines w:val="0"/>
              <w:pageBreakBefore w:val="0"/>
              <w:widowControl/>
              <w:kinsoku/>
              <w:wordWrap/>
              <w:overflowPunct/>
              <w:topLinePunct w:val="0"/>
              <w:autoSpaceDE/>
              <w:autoSpaceDN/>
              <w:bidi w:val="0"/>
              <w:adjustRightInd/>
              <w:snapToGrid/>
              <w:spacing w:line="240" w:lineRule="auto"/>
              <w:jc w:val="center"/>
              <w:rPr>
                <w:rFonts w:ascii="宋体" w:hAnsi="宋体" w:eastAsia="宋体" w:cs="宋体"/>
                <w:color w:val="auto"/>
                <w:kern w:val="0"/>
                <w:sz w:val="20"/>
                <w:szCs w:val="20"/>
              </w:rPr>
            </w:pPr>
            <w:r>
              <w:rPr>
                <w:rFonts w:hint="eastAsia" w:ascii="宋体" w:hAnsi="宋体" w:eastAsia="宋体" w:cs="宋体"/>
                <w:color w:val="auto"/>
                <w:kern w:val="0"/>
                <w:sz w:val="20"/>
                <w:szCs w:val="20"/>
              </w:rPr>
              <w:t>满意度指标</w:t>
            </w:r>
          </w:p>
        </w:tc>
        <w:tc>
          <w:tcPr>
            <w:tcW w:w="3000" w:type="dxa"/>
            <w:tcBorders>
              <w:tl2br w:val="nil"/>
              <w:tr2bl w:val="nil"/>
            </w:tcBorders>
            <w:vAlign w:val="center"/>
          </w:tcPr>
          <w:p w14:paraId="5A8F3558">
            <w:pPr>
              <w:keepNext w:val="0"/>
              <w:keepLines w:val="0"/>
              <w:widowControl/>
              <w:suppressLineNumbers w:val="0"/>
              <w:jc w:val="left"/>
              <w:textAlignment w:val="center"/>
              <w:rPr>
                <w:rFonts w:ascii="宋体" w:hAnsi="宋体" w:eastAsia="宋体" w:cs="宋体"/>
                <w:color w:val="auto"/>
                <w:kern w:val="0"/>
                <w:sz w:val="20"/>
                <w:szCs w:val="20"/>
              </w:rPr>
            </w:pPr>
            <w:r>
              <w:rPr>
                <w:rFonts w:hint="eastAsia" w:ascii="宋体" w:hAnsi="宋体" w:eastAsia="宋体" w:cs="宋体"/>
                <w:i w:val="0"/>
                <w:iCs w:val="0"/>
                <w:color w:val="auto"/>
                <w:kern w:val="0"/>
                <w:sz w:val="20"/>
                <w:szCs w:val="20"/>
                <w:u w:val="none"/>
                <w:lang w:val="en-US" w:eastAsia="zh-CN" w:bidi="ar"/>
              </w:rPr>
              <w:t>指标1：服务对象满意度</w:t>
            </w:r>
          </w:p>
        </w:tc>
        <w:tc>
          <w:tcPr>
            <w:tcW w:w="3903" w:type="dxa"/>
            <w:gridSpan w:val="2"/>
            <w:tcBorders>
              <w:tl2br w:val="nil"/>
              <w:tr2bl w:val="nil"/>
            </w:tcBorders>
            <w:vAlign w:val="center"/>
          </w:tcPr>
          <w:p w14:paraId="7D443F97">
            <w:pPr>
              <w:keepNext w:val="0"/>
              <w:keepLines w:val="0"/>
              <w:widowControl/>
              <w:suppressLineNumbers w:val="0"/>
              <w:jc w:val="center"/>
              <w:textAlignment w:val="center"/>
              <w:rPr>
                <w:rFonts w:ascii="宋体" w:cs="宋体"/>
                <w:color w:val="auto"/>
                <w:kern w:val="0"/>
                <w:sz w:val="20"/>
                <w:szCs w:val="20"/>
              </w:rPr>
            </w:pPr>
            <w:r>
              <w:rPr>
                <w:rFonts w:hint="eastAsia" w:ascii="宋体" w:hAnsi="宋体" w:eastAsia="宋体" w:cs="宋体"/>
                <w:i w:val="0"/>
                <w:iCs w:val="0"/>
                <w:color w:val="auto"/>
                <w:kern w:val="0"/>
                <w:sz w:val="20"/>
                <w:szCs w:val="20"/>
                <w:u w:val="none"/>
                <w:lang w:val="en-US" w:eastAsia="zh-CN" w:bidi="ar"/>
              </w:rPr>
              <w:t>满意</w:t>
            </w:r>
          </w:p>
        </w:tc>
      </w:tr>
    </w:tbl>
    <w:p w14:paraId="2493B287">
      <w:pPr>
        <w:rPr>
          <w:color w:val="auto"/>
        </w:rPr>
      </w:pPr>
    </w:p>
    <w:p w14:paraId="1119CE28">
      <w:pPr>
        <w:ind w:firstLine="640" w:firstLineChars="200"/>
        <w:rPr>
          <w:rFonts w:hint="eastAsia" w:ascii="仿宋" w:hAnsi="仿宋" w:eastAsia="仿宋" w:cs="仿宋"/>
          <w:color w:val="auto"/>
          <w:kern w:val="0"/>
          <w:sz w:val="32"/>
          <w:szCs w:val="32"/>
        </w:rPr>
      </w:pPr>
      <w:r>
        <w:rPr>
          <w:rFonts w:hint="eastAsia" w:ascii="仿宋" w:hAnsi="仿宋" w:eastAsia="仿宋" w:cs="仿宋"/>
          <w:color w:val="auto"/>
          <w:kern w:val="0"/>
          <w:sz w:val="32"/>
          <w:szCs w:val="32"/>
          <w:lang w:val="en-US" w:eastAsia="zh-CN"/>
        </w:rPr>
        <w:t>5</w:t>
      </w:r>
      <w:r>
        <w:rPr>
          <w:rFonts w:hint="eastAsia" w:ascii="仿宋" w:hAnsi="仿宋" w:eastAsia="仿宋" w:cs="仿宋"/>
          <w:color w:val="auto"/>
          <w:kern w:val="0"/>
          <w:sz w:val="32"/>
          <w:szCs w:val="32"/>
        </w:rPr>
        <w:t>、“单位运行劳务经费”项目。</w:t>
      </w:r>
    </w:p>
    <w:p w14:paraId="48670718">
      <w:pPr>
        <w:ind w:firstLine="640" w:firstLineChars="200"/>
        <w:rPr>
          <w:rFonts w:hint="eastAsia" w:ascii="仿宋" w:hAnsi="仿宋" w:eastAsia="仿宋" w:cs="仿宋"/>
          <w:color w:val="auto"/>
          <w:kern w:val="0"/>
          <w:sz w:val="32"/>
          <w:szCs w:val="32"/>
        </w:rPr>
      </w:pPr>
      <w:r>
        <w:rPr>
          <w:rFonts w:hint="eastAsia" w:ascii="仿宋" w:hAnsi="仿宋" w:eastAsia="仿宋" w:cs="仿宋"/>
          <w:color w:val="auto"/>
          <w:kern w:val="0"/>
          <w:sz w:val="32"/>
          <w:szCs w:val="32"/>
        </w:rPr>
        <w:t>（1）项目概述。保障编外人员的工资、社会保障、公积金等人员支出，维护单位的安定团结，弥补公用经费不足,更好地履行单位职责，保障单位职能运行。</w:t>
      </w:r>
    </w:p>
    <w:p w14:paraId="5C0468C7">
      <w:pPr>
        <w:ind w:firstLine="640" w:firstLineChars="200"/>
        <w:rPr>
          <w:rFonts w:hint="eastAsia" w:ascii="仿宋" w:hAnsi="仿宋" w:eastAsia="仿宋" w:cs="仿宋"/>
          <w:color w:val="auto"/>
          <w:kern w:val="0"/>
          <w:sz w:val="32"/>
          <w:szCs w:val="32"/>
          <w:lang w:eastAsia="zh-CN"/>
        </w:rPr>
      </w:pPr>
      <w:r>
        <w:rPr>
          <w:rFonts w:hint="eastAsia" w:ascii="仿宋" w:hAnsi="仿宋" w:eastAsia="仿宋" w:cs="仿宋"/>
          <w:color w:val="auto"/>
          <w:kern w:val="0"/>
          <w:sz w:val="32"/>
          <w:szCs w:val="32"/>
        </w:rPr>
        <w:t>（2）立项依据。此项目是日常运转经费，保障机构正常运转，完成日常工作任务。</w:t>
      </w:r>
    </w:p>
    <w:p w14:paraId="451A2869">
      <w:pPr>
        <w:ind w:firstLine="640" w:firstLineChars="200"/>
        <w:rPr>
          <w:rFonts w:hint="eastAsia" w:ascii="仿宋" w:hAnsi="仿宋" w:eastAsia="仿宋" w:cs="仿宋"/>
          <w:color w:val="auto"/>
          <w:kern w:val="0"/>
          <w:sz w:val="32"/>
          <w:szCs w:val="32"/>
          <w:lang w:eastAsia="zh-CN"/>
        </w:rPr>
      </w:pPr>
      <w:r>
        <w:rPr>
          <w:rFonts w:hint="eastAsia" w:ascii="仿宋" w:hAnsi="仿宋" w:eastAsia="仿宋" w:cs="仿宋"/>
          <w:color w:val="auto"/>
          <w:kern w:val="0"/>
          <w:sz w:val="32"/>
          <w:szCs w:val="32"/>
        </w:rPr>
        <w:t>（3）实施主体。淮北市疾病预防控制中心</w:t>
      </w:r>
      <w:r>
        <w:rPr>
          <w:rFonts w:hint="eastAsia" w:ascii="仿宋" w:hAnsi="仿宋" w:eastAsia="仿宋" w:cs="仿宋"/>
          <w:color w:val="auto"/>
          <w:kern w:val="0"/>
          <w:sz w:val="32"/>
          <w:szCs w:val="32"/>
          <w:lang w:eastAsia="zh-CN"/>
        </w:rPr>
        <w:t>。</w:t>
      </w:r>
    </w:p>
    <w:p w14:paraId="67E968C5">
      <w:pPr>
        <w:ind w:firstLine="640" w:firstLineChars="200"/>
        <w:rPr>
          <w:rFonts w:hint="eastAsia" w:ascii="仿宋" w:hAnsi="仿宋" w:eastAsia="仿宋" w:cs="仿宋"/>
          <w:color w:val="auto"/>
          <w:kern w:val="0"/>
          <w:sz w:val="32"/>
          <w:szCs w:val="32"/>
          <w:lang w:eastAsia="zh-CN"/>
        </w:rPr>
      </w:pPr>
      <w:r>
        <w:rPr>
          <w:rFonts w:hint="eastAsia" w:ascii="仿宋" w:hAnsi="仿宋" w:eastAsia="仿宋" w:cs="仿宋"/>
          <w:color w:val="auto"/>
          <w:kern w:val="0"/>
          <w:sz w:val="32"/>
          <w:szCs w:val="32"/>
        </w:rPr>
        <w:t>（4）起止时间。202</w:t>
      </w:r>
      <w:r>
        <w:rPr>
          <w:rFonts w:hint="eastAsia" w:ascii="仿宋" w:hAnsi="仿宋" w:eastAsia="仿宋" w:cs="仿宋"/>
          <w:color w:val="auto"/>
          <w:kern w:val="0"/>
          <w:sz w:val="32"/>
          <w:szCs w:val="32"/>
          <w:lang w:val="en-US" w:eastAsia="zh-CN"/>
        </w:rPr>
        <w:t>5</w:t>
      </w:r>
      <w:r>
        <w:rPr>
          <w:rFonts w:hint="eastAsia" w:ascii="仿宋" w:hAnsi="仿宋" w:eastAsia="仿宋" w:cs="仿宋"/>
          <w:color w:val="auto"/>
          <w:kern w:val="0"/>
          <w:sz w:val="32"/>
          <w:szCs w:val="32"/>
        </w:rPr>
        <w:t>年1-12月</w:t>
      </w:r>
      <w:r>
        <w:rPr>
          <w:rFonts w:hint="eastAsia" w:ascii="仿宋" w:hAnsi="仿宋" w:eastAsia="仿宋" w:cs="仿宋"/>
          <w:color w:val="auto"/>
          <w:kern w:val="0"/>
          <w:sz w:val="32"/>
          <w:szCs w:val="32"/>
          <w:lang w:eastAsia="zh-CN"/>
        </w:rPr>
        <w:t>。</w:t>
      </w:r>
    </w:p>
    <w:p w14:paraId="14990056">
      <w:pPr>
        <w:ind w:firstLine="640" w:firstLineChars="200"/>
        <w:rPr>
          <w:rFonts w:hint="eastAsia" w:ascii="仿宋" w:hAnsi="仿宋" w:eastAsia="仿宋" w:cs="仿宋"/>
          <w:color w:val="auto"/>
          <w:kern w:val="0"/>
          <w:sz w:val="32"/>
          <w:szCs w:val="32"/>
        </w:rPr>
      </w:pPr>
      <w:r>
        <w:rPr>
          <w:rFonts w:hint="eastAsia" w:ascii="仿宋" w:hAnsi="仿宋" w:eastAsia="仿宋" w:cs="仿宋"/>
          <w:color w:val="auto"/>
          <w:kern w:val="0"/>
          <w:sz w:val="32"/>
          <w:szCs w:val="32"/>
        </w:rPr>
        <w:t>（5）项目内容。保障编外人员的工资、社会保障、公积金等人员支出，维护单位的安定团结，弥补公用经费不足,更好地履行单位职责，保障单位职能运行。</w:t>
      </w:r>
    </w:p>
    <w:p w14:paraId="4A6096B6">
      <w:pPr>
        <w:ind w:firstLine="640" w:firstLineChars="200"/>
        <w:rPr>
          <w:rFonts w:hint="eastAsia" w:ascii="仿宋" w:hAnsi="仿宋" w:eastAsia="仿宋" w:cs="仿宋"/>
          <w:color w:val="auto"/>
          <w:kern w:val="0"/>
          <w:sz w:val="32"/>
          <w:szCs w:val="32"/>
          <w:lang w:val="en-US" w:eastAsia="zh-CN"/>
        </w:rPr>
      </w:pPr>
      <w:r>
        <w:rPr>
          <w:rFonts w:hint="eastAsia" w:ascii="仿宋" w:hAnsi="仿宋" w:eastAsia="仿宋" w:cs="仿宋"/>
          <w:color w:val="auto"/>
          <w:kern w:val="0"/>
          <w:sz w:val="32"/>
          <w:szCs w:val="32"/>
        </w:rPr>
        <w:t>（6）年度预算安排。</w:t>
      </w:r>
      <w:r>
        <w:rPr>
          <w:rFonts w:hint="eastAsia" w:ascii="仿宋" w:hAnsi="仿宋" w:eastAsia="仿宋" w:cs="仿宋"/>
          <w:color w:val="auto"/>
          <w:kern w:val="0"/>
          <w:sz w:val="32"/>
          <w:szCs w:val="32"/>
          <w:lang w:val="en-US" w:eastAsia="zh-CN"/>
        </w:rPr>
        <w:t>100</w:t>
      </w:r>
      <w:r>
        <w:rPr>
          <w:rFonts w:hint="eastAsia" w:ascii="仿宋" w:hAnsi="仿宋" w:eastAsia="仿宋" w:cs="仿宋"/>
          <w:color w:val="auto"/>
          <w:kern w:val="0"/>
          <w:sz w:val="32"/>
          <w:szCs w:val="32"/>
        </w:rPr>
        <w:t>万元。</w:t>
      </w:r>
    </w:p>
    <w:p w14:paraId="4CD9D1D9">
      <w:pPr>
        <w:ind w:firstLine="640" w:firstLineChars="200"/>
        <w:rPr>
          <w:rFonts w:hint="eastAsia" w:ascii="仿宋" w:hAnsi="仿宋" w:eastAsia="仿宋" w:cs="仿宋"/>
          <w:color w:val="auto"/>
          <w:kern w:val="0"/>
          <w:sz w:val="32"/>
          <w:szCs w:val="32"/>
        </w:rPr>
      </w:pPr>
      <w:r>
        <w:rPr>
          <w:rFonts w:hint="eastAsia" w:ascii="仿宋" w:hAnsi="仿宋" w:eastAsia="仿宋" w:cs="仿宋"/>
          <w:color w:val="auto"/>
          <w:kern w:val="0"/>
          <w:sz w:val="32"/>
          <w:szCs w:val="32"/>
        </w:rPr>
        <w:t>（7）绩效目标。保障编外人员的工资、社会保障、公积金等人员支出，维护单位的安定团结，弥补公用经费不足,更好地履行单位职责，保障单位职能运行。</w:t>
      </w:r>
    </w:p>
    <w:tbl>
      <w:tblPr>
        <w:tblStyle w:val="5"/>
        <w:tblW w:w="90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38"/>
        <w:gridCol w:w="723"/>
        <w:gridCol w:w="282"/>
        <w:gridCol w:w="769"/>
        <w:gridCol w:w="3096"/>
        <w:gridCol w:w="1227"/>
        <w:gridCol w:w="2485"/>
      </w:tblGrid>
      <w:tr w14:paraId="16D435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3" w:hRule="atLeast"/>
          <w:jc w:val="center"/>
        </w:trPr>
        <w:tc>
          <w:tcPr>
            <w:tcW w:w="9020" w:type="dxa"/>
            <w:gridSpan w:val="7"/>
            <w:tcBorders>
              <w:top w:val="nil"/>
              <w:left w:val="nil"/>
              <w:bottom w:val="nil"/>
              <w:right w:val="nil"/>
            </w:tcBorders>
            <w:vAlign w:val="center"/>
          </w:tcPr>
          <w:p w14:paraId="22E62B9F">
            <w:pPr>
              <w:widowControl/>
              <w:jc w:val="center"/>
              <w:textAlignment w:val="center"/>
              <w:rPr>
                <w:rFonts w:ascii="宋体" w:cs="宋体"/>
                <w:b/>
                <w:bCs/>
                <w:color w:val="auto"/>
                <w:szCs w:val="32"/>
              </w:rPr>
            </w:pPr>
            <w:r>
              <w:rPr>
                <w:rFonts w:hint="eastAsia" w:ascii="宋体" w:hAnsi="宋体" w:eastAsia="宋体" w:cs="宋体"/>
                <w:b/>
                <w:color w:val="auto"/>
                <w:kern w:val="0"/>
                <w:sz w:val="28"/>
                <w:szCs w:val="28"/>
              </w:rPr>
              <w:t>项目支出绩效目标表</w:t>
            </w:r>
          </w:p>
        </w:tc>
      </w:tr>
      <w:tr w14:paraId="3CABF5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9020" w:type="dxa"/>
            <w:gridSpan w:val="7"/>
            <w:tcBorders>
              <w:top w:val="nil"/>
              <w:left w:val="nil"/>
              <w:right w:val="nil"/>
            </w:tcBorders>
            <w:vAlign w:val="center"/>
          </w:tcPr>
          <w:p w14:paraId="40D83B62">
            <w:pPr>
              <w:widowControl/>
              <w:jc w:val="center"/>
              <w:textAlignment w:val="center"/>
              <w:rPr>
                <w:rFonts w:ascii="宋体" w:cs="宋体"/>
                <w:color w:val="auto"/>
                <w:sz w:val="20"/>
              </w:rPr>
            </w:pPr>
            <w:r>
              <w:rPr>
                <w:rFonts w:hint="eastAsia" w:ascii="宋体" w:hAnsi="宋体" w:eastAsia="宋体" w:cs="宋体"/>
                <w:color w:val="auto"/>
                <w:kern w:val="0"/>
                <w:sz w:val="20"/>
                <w:szCs w:val="20"/>
              </w:rPr>
              <w:t xml:space="preserve"> （2025年度）                                </w:t>
            </w:r>
          </w:p>
        </w:tc>
      </w:tr>
      <w:tr w14:paraId="743A74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jc w:val="center"/>
        </w:trPr>
        <w:tc>
          <w:tcPr>
            <w:tcW w:w="1443" w:type="dxa"/>
            <w:gridSpan w:val="3"/>
            <w:tcBorders>
              <w:tl2br w:val="nil"/>
              <w:tr2bl w:val="nil"/>
            </w:tcBorders>
            <w:vAlign w:val="center"/>
          </w:tcPr>
          <w:p w14:paraId="0BD06D96">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ascii="宋体" w:cs="宋体"/>
                <w:color w:val="auto"/>
                <w:kern w:val="0"/>
                <w:sz w:val="20"/>
                <w:szCs w:val="20"/>
              </w:rPr>
            </w:pPr>
            <w:r>
              <w:rPr>
                <w:rFonts w:hint="eastAsia" w:ascii="宋体" w:hAnsi="宋体" w:eastAsia="宋体" w:cs="宋体"/>
                <w:color w:val="auto"/>
                <w:kern w:val="0"/>
                <w:sz w:val="20"/>
                <w:szCs w:val="20"/>
              </w:rPr>
              <w:t>项目名称</w:t>
            </w:r>
          </w:p>
        </w:tc>
        <w:tc>
          <w:tcPr>
            <w:tcW w:w="7577" w:type="dxa"/>
            <w:gridSpan w:val="4"/>
            <w:tcBorders>
              <w:tl2br w:val="nil"/>
              <w:tr2bl w:val="nil"/>
            </w:tcBorders>
            <w:vAlign w:val="center"/>
          </w:tcPr>
          <w:p w14:paraId="76F4C57E">
            <w:pPr>
              <w:keepNext w:val="0"/>
              <w:keepLines w:val="0"/>
              <w:pageBreakBefore w:val="0"/>
              <w:kinsoku/>
              <w:wordWrap/>
              <w:overflowPunct/>
              <w:topLinePunct w:val="0"/>
              <w:autoSpaceDE/>
              <w:autoSpaceDN/>
              <w:bidi w:val="0"/>
              <w:adjustRightInd/>
              <w:snapToGrid/>
              <w:spacing w:line="240" w:lineRule="auto"/>
              <w:jc w:val="center"/>
              <w:rPr>
                <w:rFonts w:ascii="宋体" w:cs="宋体"/>
                <w:color w:val="auto"/>
                <w:kern w:val="0"/>
                <w:sz w:val="20"/>
                <w:szCs w:val="20"/>
              </w:rPr>
            </w:pPr>
            <w:r>
              <w:rPr>
                <w:rFonts w:hint="eastAsia" w:ascii="宋体" w:cs="宋体"/>
                <w:color w:val="auto"/>
                <w:kern w:val="0"/>
                <w:sz w:val="20"/>
                <w:szCs w:val="20"/>
              </w:rPr>
              <w:t>单位运行劳务经费</w:t>
            </w:r>
          </w:p>
        </w:tc>
      </w:tr>
      <w:tr w14:paraId="3A2D6E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1" w:hRule="atLeast"/>
          <w:jc w:val="center"/>
        </w:trPr>
        <w:tc>
          <w:tcPr>
            <w:tcW w:w="1443" w:type="dxa"/>
            <w:gridSpan w:val="3"/>
            <w:tcBorders>
              <w:tl2br w:val="nil"/>
              <w:tr2bl w:val="nil"/>
            </w:tcBorders>
            <w:vAlign w:val="center"/>
          </w:tcPr>
          <w:p w14:paraId="5D0AF621">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ascii="宋体" w:cs="宋体"/>
                <w:color w:val="auto"/>
                <w:kern w:val="0"/>
                <w:sz w:val="20"/>
                <w:szCs w:val="20"/>
              </w:rPr>
            </w:pPr>
            <w:r>
              <w:rPr>
                <w:rFonts w:hint="eastAsia" w:ascii="宋体" w:hAnsi="宋体" w:eastAsia="宋体" w:cs="宋体"/>
                <w:color w:val="auto"/>
                <w:kern w:val="0"/>
                <w:sz w:val="20"/>
                <w:szCs w:val="20"/>
              </w:rPr>
              <w:t>主管部门   及代码</w:t>
            </w:r>
          </w:p>
        </w:tc>
        <w:tc>
          <w:tcPr>
            <w:tcW w:w="3865" w:type="dxa"/>
            <w:gridSpan w:val="2"/>
            <w:tcBorders>
              <w:tl2br w:val="nil"/>
              <w:tr2bl w:val="nil"/>
            </w:tcBorders>
            <w:vAlign w:val="center"/>
          </w:tcPr>
          <w:p w14:paraId="1CB7DD90">
            <w:pPr>
              <w:keepNext w:val="0"/>
              <w:keepLines w:val="0"/>
              <w:pageBreakBefore w:val="0"/>
              <w:kinsoku/>
              <w:wordWrap/>
              <w:overflowPunct/>
              <w:topLinePunct w:val="0"/>
              <w:autoSpaceDE/>
              <w:autoSpaceDN/>
              <w:bidi w:val="0"/>
              <w:adjustRightInd/>
              <w:snapToGrid/>
              <w:spacing w:line="240" w:lineRule="auto"/>
              <w:jc w:val="center"/>
              <w:rPr>
                <w:rFonts w:ascii="宋体" w:cs="宋体"/>
                <w:color w:val="auto"/>
                <w:kern w:val="0"/>
                <w:sz w:val="20"/>
                <w:szCs w:val="20"/>
              </w:rPr>
            </w:pPr>
            <w:r>
              <w:rPr>
                <w:rFonts w:hint="eastAsia" w:ascii="宋体" w:hAnsi="宋体" w:eastAsia="宋体" w:cs="宋体"/>
                <w:color w:val="auto"/>
                <w:kern w:val="0"/>
                <w:sz w:val="20"/>
                <w:szCs w:val="20"/>
              </w:rPr>
              <w:t>[076]淮北市卫生健康委员会</w:t>
            </w:r>
          </w:p>
        </w:tc>
        <w:tc>
          <w:tcPr>
            <w:tcW w:w="1227" w:type="dxa"/>
            <w:tcBorders>
              <w:tl2br w:val="nil"/>
              <w:tr2bl w:val="nil"/>
            </w:tcBorders>
            <w:vAlign w:val="center"/>
          </w:tcPr>
          <w:p w14:paraId="65575C46">
            <w:pPr>
              <w:keepNext w:val="0"/>
              <w:keepLines w:val="0"/>
              <w:pageBreakBefore w:val="0"/>
              <w:widowControl/>
              <w:kinsoku/>
              <w:wordWrap/>
              <w:overflowPunct/>
              <w:topLinePunct w:val="0"/>
              <w:autoSpaceDE/>
              <w:autoSpaceDN/>
              <w:bidi w:val="0"/>
              <w:adjustRightInd/>
              <w:snapToGrid/>
              <w:spacing w:line="240" w:lineRule="auto"/>
              <w:jc w:val="center"/>
              <w:textAlignment w:val="center"/>
              <w:rPr>
                <w:color w:val="auto"/>
                <w:kern w:val="0"/>
                <w:sz w:val="20"/>
                <w:szCs w:val="20"/>
              </w:rPr>
            </w:pPr>
            <w:r>
              <w:rPr>
                <w:rFonts w:hint="eastAsia" w:ascii="宋体" w:hAnsi="宋体" w:eastAsia="宋体" w:cs="宋体"/>
                <w:color w:val="auto"/>
                <w:kern w:val="0"/>
                <w:sz w:val="20"/>
                <w:szCs w:val="20"/>
              </w:rPr>
              <w:t>实施单位</w:t>
            </w:r>
          </w:p>
        </w:tc>
        <w:tc>
          <w:tcPr>
            <w:tcW w:w="2485" w:type="dxa"/>
            <w:tcBorders>
              <w:tl2br w:val="nil"/>
              <w:tr2bl w:val="nil"/>
            </w:tcBorders>
            <w:shd w:val="clear" w:color="auto" w:fill="auto"/>
            <w:vAlign w:val="center"/>
          </w:tcPr>
          <w:p w14:paraId="4DB9F289">
            <w:pPr>
              <w:keepNext w:val="0"/>
              <w:keepLines w:val="0"/>
              <w:pageBreakBefore w:val="0"/>
              <w:widowControl/>
              <w:kinsoku/>
              <w:wordWrap/>
              <w:overflowPunct/>
              <w:topLinePunct w:val="0"/>
              <w:autoSpaceDE/>
              <w:autoSpaceDN/>
              <w:bidi w:val="0"/>
              <w:adjustRightInd/>
              <w:snapToGrid/>
              <w:spacing w:line="240" w:lineRule="auto"/>
              <w:jc w:val="center"/>
              <w:rPr>
                <w:rFonts w:ascii="宋体" w:hAnsi="宋体" w:eastAsia="宋体" w:cs="宋体"/>
                <w:color w:val="auto"/>
                <w:kern w:val="0"/>
                <w:sz w:val="20"/>
                <w:szCs w:val="20"/>
                <w:lang w:val="en-US" w:eastAsia="zh-CN" w:bidi="ar-SA"/>
              </w:rPr>
            </w:pPr>
            <w:r>
              <w:rPr>
                <w:rFonts w:hint="eastAsia" w:ascii="宋体" w:hAnsi="宋体" w:eastAsia="宋体" w:cs="宋体"/>
                <w:color w:val="auto"/>
                <w:kern w:val="0"/>
                <w:sz w:val="20"/>
                <w:szCs w:val="20"/>
              </w:rPr>
              <w:t>淮北市疾病预防控制中心</w:t>
            </w:r>
          </w:p>
        </w:tc>
      </w:tr>
      <w:tr w14:paraId="629298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jc w:val="center"/>
        </w:trPr>
        <w:tc>
          <w:tcPr>
            <w:tcW w:w="1443" w:type="dxa"/>
            <w:gridSpan w:val="3"/>
            <w:tcBorders>
              <w:tl2br w:val="nil"/>
              <w:tr2bl w:val="nil"/>
            </w:tcBorders>
            <w:vAlign w:val="center"/>
          </w:tcPr>
          <w:p w14:paraId="6EE201AE">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ascii="宋体" w:cs="宋体"/>
                <w:color w:val="auto"/>
                <w:kern w:val="0"/>
                <w:sz w:val="20"/>
                <w:szCs w:val="20"/>
              </w:rPr>
            </w:pPr>
            <w:r>
              <w:rPr>
                <w:rFonts w:hint="eastAsia" w:ascii="宋体" w:hAnsi="宋体" w:eastAsia="宋体" w:cs="宋体"/>
                <w:color w:val="auto"/>
                <w:kern w:val="0"/>
                <w:sz w:val="20"/>
                <w:szCs w:val="20"/>
              </w:rPr>
              <w:t>项目来源</w:t>
            </w:r>
          </w:p>
        </w:tc>
        <w:tc>
          <w:tcPr>
            <w:tcW w:w="3865" w:type="dxa"/>
            <w:gridSpan w:val="2"/>
            <w:tcBorders>
              <w:tl2br w:val="nil"/>
              <w:tr2bl w:val="nil"/>
            </w:tcBorders>
            <w:vAlign w:val="center"/>
          </w:tcPr>
          <w:p w14:paraId="18D45E54">
            <w:pPr>
              <w:keepNext w:val="0"/>
              <w:keepLines w:val="0"/>
              <w:pageBreakBefore w:val="0"/>
              <w:kinsoku/>
              <w:wordWrap/>
              <w:overflowPunct/>
              <w:topLinePunct w:val="0"/>
              <w:autoSpaceDE/>
              <w:autoSpaceDN/>
              <w:bidi w:val="0"/>
              <w:adjustRightInd/>
              <w:snapToGrid/>
              <w:spacing w:line="240" w:lineRule="auto"/>
              <w:jc w:val="center"/>
              <w:rPr>
                <w:rFonts w:ascii="宋体" w:cs="宋体"/>
                <w:color w:val="auto"/>
                <w:kern w:val="0"/>
                <w:sz w:val="20"/>
                <w:szCs w:val="20"/>
              </w:rPr>
            </w:pPr>
          </w:p>
        </w:tc>
        <w:tc>
          <w:tcPr>
            <w:tcW w:w="1227" w:type="dxa"/>
            <w:tcBorders>
              <w:tl2br w:val="nil"/>
              <w:tr2bl w:val="nil"/>
            </w:tcBorders>
            <w:vAlign w:val="center"/>
          </w:tcPr>
          <w:p w14:paraId="150E1AAE">
            <w:pPr>
              <w:keepNext w:val="0"/>
              <w:keepLines w:val="0"/>
              <w:pageBreakBefore w:val="0"/>
              <w:widowControl/>
              <w:kinsoku/>
              <w:wordWrap/>
              <w:overflowPunct/>
              <w:topLinePunct w:val="0"/>
              <w:autoSpaceDE/>
              <w:autoSpaceDN/>
              <w:bidi w:val="0"/>
              <w:adjustRightInd/>
              <w:snapToGrid/>
              <w:spacing w:line="240" w:lineRule="auto"/>
              <w:jc w:val="center"/>
              <w:textAlignment w:val="center"/>
              <w:rPr>
                <w:color w:val="auto"/>
                <w:kern w:val="0"/>
                <w:sz w:val="20"/>
                <w:szCs w:val="20"/>
              </w:rPr>
            </w:pPr>
            <w:r>
              <w:rPr>
                <w:rFonts w:hint="eastAsia" w:ascii="宋体" w:hAnsi="宋体" w:eastAsia="宋体" w:cs="宋体"/>
                <w:color w:val="auto"/>
                <w:kern w:val="0"/>
                <w:sz w:val="20"/>
                <w:szCs w:val="20"/>
              </w:rPr>
              <w:t>项目期</w:t>
            </w:r>
          </w:p>
        </w:tc>
        <w:tc>
          <w:tcPr>
            <w:tcW w:w="2485" w:type="dxa"/>
            <w:tcBorders>
              <w:tl2br w:val="nil"/>
              <w:tr2bl w:val="nil"/>
            </w:tcBorders>
            <w:shd w:val="clear" w:color="auto" w:fill="auto"/>
            <w:vAlign w:val="center"/>
          </w:tcPr>
          <w:p w14:paraId="0C4116AE">
            <w:pPr>
              <w:keepNext w:val="0"/>
              <w:keepLines w:val="0"/>
              <w:pageBreakBefore w:val="0"/>
              <w:widowControl/>
              <w:kinsoku/>
              <w:wordWrap/>
              <w:overflowPunct/>
              <w:topLinePunct w:val="0"/>
              <w:autoSpaceDE/>
              <w:autoSpaceDN/>
              <w:bidi w:val="0"/>
              <w:adjustRightInd/>
              <w:snapToGrid/>
              <w:spacing w:line="240" w:lineRule="auto"/>
              <w:jc w:val="center"/>
              <w:rPr>
                <w:rFonts w:ascii="宋体" w:hAnsi="宋体" w:eastAsia="宋体" w:cs="宋体"/>
                <w:color w:val="auto"/>
                <w:kern w:val="0"/>
                <w:sz w:val="20"/>
                <w:szCs w:val="20"/>
                <w:lang w:val="en-US" w:eastAsia="zh-CN" w:bidi="ar-SA"/>
              </w:rPr>
            </w:pPr>
            <w:r>
              <w:rPr>
                <w:rFonts w:hint="eastAsia" w:ascii="宋体" w:hAnsi="宋体" w:eastAsia="宋体" w:cs="宋体"/>
                <w:color w:val="auto"/>
                <w:kern w:val="0"/>
                <w:sz w:val="20"/>
                <w:szCs w:val="20"/>
              </w:rPr>
              <w:t>1年</w:t>
            </w:r>
          </w:p>
        </w:tc>
      </w:tr>
      <w:tr w14:paraId="02B464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jc w:val="center"/>
        </w:trPr>
        <w:tc>
          <w:tcPr>
            <w:tcW w:w="1443" w:type="dxa"/>
            <w:gridSpan w:val="3"/>
            <w:vMerge w:val="restart"/>
            <w:tcBorders>
              <w:tl2br w:val="nil"/>
              <w:tr2bl w:val="nil"/>
            </w:tcBorders>
            <w:vAlign w:val="center"/>
          </w:tcPr>
          <w:p w14:paraId="32096924">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ascii="宋体" w:cs="宋体"/>
                <w:color w:val="auto"/>
                <w:kern w:val="0"/>
                <w:sz w:val="20"/>
                <w:szCs w:val="20"/>
              </w:rPr>
            </w:pPr>
            <w:r>
              <w:rPr>
                <w:rFonts w:hint="eastAsia" w:ascii="宋体" w:hAnsi="宋体" w:eastAsia="宋体" w:cs="宋体"/>
                <w:color w:val="auto"/>
                <w:kern w:val="0"/>
                <w:sz w:val="20"/>
                <w:szCs w:val="20"/>
              </w:rPr>
              <w:t>项目资金</w:t>
            </w:r>
            <w:r>
              <w:rPr>
                <w:rFonts w:hint="eastAsia" w:ascii="宋体" w:hAnsi="宋体" w:eastAsia="宋体" w:cs="宋体"/>
                <w:color w:val="auto"/>
                <w:kern w:val="0"/>
                <w:sz w:val="20"/>
                <w:szCs w:val="20"/>
              </w:rPr>
              <w:br w:type="textWrapping"/>
            </w:r>
            <w:r>
              <w:rPr>
                <w:rFonts w:hint="eastAsia" w:ascii="宋体" w:hAnsi="宋体" w:eastAsia="宋体" w:cs="宋体"/>
                <w:color w:val="auto"/>
                <w:kern w:val="0"/>
                <w:sz w:val="20"/>
                <w:szCs w:val="20"/>
              </w:rPr>
              <w:t>（万元）</w:t>
            </w:r>
          </w:p>
        </w:tc>
        <w:tc>
          <w:tcPr>
            <w:tcW w:w="3865" w:type="dxa"/>
            <w:gridSpan w:val="2"/>
            <w:tcBorders>
              <w:tl2br w:val="nil"/>
              <w:tr2bl w:val="nil"/>
            </w:tcBorders>
            <w:vAlign w:val="center"/>
          </w:tcPr>
          <w:p w14:paraId="03489B30">
            <w:pPr>
              <w:keepNext w:val="0"/>
              <w:keepLines w:val="0"/>
              <w:pageBreakBefore w:val="0"/>
              <w:widowControl/>
              <w:kinsoku/>
              <w:wordWrap/>
              <w:overflowPunct/>
              <w:topLinePunct w:val="0"/>
              <w:autoSpaceDE/>
              <w:autoSpaceDN/>
              <w:bidi w:val="0"/>
              <w:adjustRightInd/>
              <w:snapToGrid/>
              <w:spacing w:line="240" w:lineRule="auto"/>
              <w:jc w:val="left"/>
              <w:textAlignment w:val="center"/>
              <w:rPr>
                <w:rFonts w:ascii="宋体" w:cs="宋体"/>
                <w:color w:val="auto"/>
                <w:kern w:val="0"/>
                <w:sz w:val="20"/>
                <w:szCs w:val="20"/>
              </w:rPr>
            </w:pPr>
            <w:r>
              <w:rPr>
                <w:rFonts w:hint="eastAsia" w:ascii="宋体" w:hAnsi="宋体" w:eastAsia="宋体" w:cs="宋体"/>
                <w:color w:val="auto"/>
                <w:kern w:val="0"/>
                <w:sz w:val="20"/>
                <w:szCs w:val="20"/>
              </w:rPr>
              <w:t xml:space="preserve"> 年度资金总额：</w:t>
            </w:r>
          </w:p>
        </w:tc>
        <w:tc>
          <w:tcPr>
            <w:tcW w:w="3712" w:type="dxa"/>
            <w:gridSpan w:val="2"/>
            <w:tcBorders>
              <w:tl2br w:val="nil"/>
              <w:tr2bl w:val="nil"/>
            </w:tcBorders>
            <w:shd w:val="clear" w:color="auto" w:fill="auto"/>
            <w:vAlign w:val="center"/>
          </w:tcPr>
          <w:p w14:paraId="1EEEB5B4">
            <w:pPr>
              <w:keepNext w:val="0"/>
              <w:keepLines w:val="0"/>
              <w:pageBreakBefore w:val="0"/>
              <w:widowControl/>
              <w:kinsoku/>
              <w:wordWrap/>
              <w:overflowPunct/>
              <w:topLinePunct w:val="0"/>
              <w:autoSpaceDE/>
              <w:autoSpaceDN/>
              <w:bidi w:val="0"/>
              <w:adjustRightInd/>
              <w:snapToGrid/>
              <w:spacing w:line="240" w:lineRule="auto"/>
              <w:jc w:val="right"/>
              <w:rPr>
                <w:rFonts w:hint="default" w:ascii="宋体" w:hAnsi="宋体" w:eastAsia="宋体" w:cs="宋体"/>
                <w:color w:val="auto"/>
                <w:kern w:val="0"/>
                <w:sz w:val="20"/>
                <w:szCs w:val="20"/>
                <w:lang w:val="en-US" w:eastAsia="zh-CN" w:bidi="ar-SA"/>
              </w:rPr>
            </w:pPr>
            <w:r>
              <w:rPr>
                <w:rFonts w:hint="eastAsia" w:ascii="宋体" w:hAnsi="宋体" w:eastAsia="宋体" w:cs="宋体"/>
                <w:color w:val="auto"/>
                <w:kern w:val="0"/>
                <w:sz w:val="20"/>
                <w:szCs w:val="20"/>
                <w:lang w:val="en-US" w:eastAsia="zh-CN" w:bidi="ar-SA"/>
              </w:rPr>
              <w:t>100.00</w:t>
            </w:r>
          </w:p>
        </w:tc>
      </w:tr>
      <w:tr w14:paraId="75D400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jc w:val="center"/>
        </w:trPr>
        <w:tc>
          <w:tcPr>
            <w:tcW w:w="1443" w:type="dxa"/>
            <w:gridSpan w:val="3"/>
            <w:vMerge w:val="continue"/>
            <w:tcBorders>
              <w:tl2br w:val="nil"/>
              <w:tr2bl w:val="nil"/>
            </w:tcBorders>
            <w:vAlign w:val="center"/>
          </w:tcPr>
          <w:p w14:paraId="210F55BD">
            <w:pPr>
              <w:keepNext w:val="0"/>
              <w:keepLines w:val="0"/>
              <w:pageBreakBefore w:val="0"/>
              <w:kinsoku/>
              <w:wordWrap/>
              <w:overflowPunct/>
              <w:topLinePunct w:val="0"/>
              <w:autoSpaceDE/>
              <w:autoSpaceDN/>
              <w:bidi w:val="0"/>
              <w:adjustRightInd/>
              <w:snapToGrid/>
              <w:spacing w:line="240" w:lineRule="auto"/>
              <w:jc w:val="center"/>
              <w:rPr>
                <w:rFonts w:ascii="宋体" w:cs="宋体"/>
                <w:color w:val="auto"/>
                <w:kern w:val="0"/>
                <w:sz w:val="20"/>
                <w:szCs w:val="20"/>
              </w:rPr>
            </w:pPr>
          </w:p>
        </w:tc>
        <w:tc>
          <w:tcPr>
            <w:tcW w:w="3865" w:type="dxa"/>
            <w:gridSpan w:val="2"/>
            <w:tcBorders>
              <w:tl2br w:val="nil"/>
              <w:tr2bl w:val="nil"/>
            </w:tcBorders>
            <w:vAlign w:val="center"/>
          </w:tcPr>
          <w:p w14:paraId="46EDDC7F">
            <w:pPr>
              <w:keepNext w:val="0"/>
              <w:keepLines w:val="0"/>
              <w:pageBreakBefore w:val="0"/>
              <w:widowControl/>
              <w:kinsoku/>
              <w:wordWrap/>
              <w:overflowPunct/>
              <w:topLinePunct w:val="0"/>
              <w:autoSpaceDE/>
              <w:autoSpaceDN/>
              <w:bidi w:val="0"/>
              <w:adjustRightInd/>
              <w:snapToGrid/>
              <w:spacing w:line="240" w:lineRule="auto"/>
              <w:jc w:val="left"/>
              <w:textAlignment w:val="center"/>
              <w:rPr>
                <w:rFonts w:ascii="宋体" w:cs="宋体"/>
                <w:color w:val="auto"/>
                <w:kern w:val="0"/>
                <w:sz w:val="20"/>
                <w:szCs w:val="20"/>
              </w:rPr>
            </w:pPr>
            <w:r>
              <w:rPr>
                <w:rFonts w:hint="eastAsia" w:ascii="宋体" w:hAnsi="宋体" w:eastAsia="宋体" w:cs="宋体"/>
                <w:color w:val="auto"/>
                <w:kern w:val="0"/>
                <w:sz w:val="20"/>
                <w:szCs w:val="20"/>
              </w:rPr>
              <w:t xml:space="preserve">   其中：财政拨款</w:t>
            </w:r>
          </w:p>
        </w:tc>
        <w:tc>
          <w:tcPr>
            <w:tcW w:w="3712" w:type="dxa"/>
            <w:gridSpan w:val="2"/>
            <w:tcBorders>
              <w:tl2br w:val="nil"/>
              <w:tr2bl w:val="nil"/>
            </w:tcBorders>
            <w:shd w:val="clear" w:color="auto" w:fill="auto"/>
            <w:vAlign w:val="center"/>
          </w:tcPr>
          <w:p w14:paraId="322E68AA">
            <w:pPr>
              <w:keepNext w:val="0"/>
              <w:keepLines w:val="0"/>
              <w:pageBreakBefore w:val="0"/>
              <w:widowControl/>
              <w:kinsoku/>
              <w:wordWrap/>
              <w:overflowPunct/>
              <w:topLinePunct w:val="0"/>
              <w:autoSpaceDE/>
              <w:autoSpaceDN/>
              <w:bidi w:val="0"/>
              <w:adjustRightInd/>
              <w:snapToGrid/>
              <w:spacing w:line="240" w:lineRule="auto"/>
              <w:jc w:val="right"/>
              <w:rPr>
                <w:rFonts w:hint="default" w:ascii="宋体" w:hAnsi="宋体" w:eastAsia="宋体" w:cs="宋体"/>
                <w:color w:val="auto"/>
                <w:kern w:val="0"/>
                <w:sz w:val="20"/>
                <w:szCs w:val="20"/>
                <w:lang w:val="en-US" w:eastAsia="zh-CN" w:bidi="ar-SA"/>
              </w:rPr>
            </w:pPr>
            <w:r>
              <w:rPr>
                <w:rFonts w:hint="eastAsia" w:ascii="宋体" w:hAnsi="宋体" w:eastAsia="宋体" w:cs="宋体"/>
                <w:color w:val="auto"/>
                <w:kern w:val="0"/>
                <w:sz w:val="20"/>
                <w:szCs w:val="20"/>
                <w:lang w:val="en-US" w:eastAsia="zh-CN" w:bidi="ar-SA"/>
              </w:rPr>
              <w:t>100.00</w:t>
            </w:r>
          </w:p>
        </w:tc>
      </w:tr>
      <w:tr w14:paraId="0AECC0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jc w:val="center"/>
        </w:trPr>
        <w:tc>
          <w:tcPr>
            <w:tcW w:w="1443" w:type="dxa"/>
            <w:gridSpan w:val="3"/>
            <w:vMerge w:val="continue"/>
            <w:tcBorders>
              <w:tl2br w:val="nil"/>
              <w:tr2bl w:val="nil"/>
            </w:tcBorders>
            <w:vAlign w:val="center"/>
          </w:tcPr>
          <w:p w14:paraId="05E9CD6F">
            <w:pPr>
              <w:keepNext w:val="0"/>
              <w:keepLines w:val="0"/>
              <w:pageBreakBefore w:val="0"/>
              <w:kinsoku/>
              <w:wordWrap/>
              <w:overflowPunct/>
              <w:topLinePunct w:val="0"/>
              <w:autoSpaceDE/>
              <w:autoSpaceDN/>
              <w:bidi w:val="0"/>
              <w:adjustRightInd/>
              <w:snapToGrid/>
              <w:spacing w:line="240" w:lineRule="auto"/>
              <w:jc w:val="center"/>
              <w:rPr>
                <w:rFonts w:ascii="宋体" w:cs="宋体"/>
                <w:color w:val="auto"/>
                <w:kern w:val="0"/>
                <w:sz w:val="20"/>
                <w:szCs w:val="20"/>
              </w:rPr>
            </w:pPr>
          </w:p>
        </w:tc>
        <w:tc>
          <w:tcPr>
            <w:tcW w:w="3865" w:type="dxa"/>
            <w:gridSpan w:val="2"/>
            <w:tcBorders>
              <w:tl2br w:val="nil"/>
              <w:tr2bl w:val="nil"/>
            </w:tcBorders>
            <w:vAlign w:val="center"/>
          </w:tcPr>
          <w:p w14:paraId="21C80CCD">
            <w:pPr>
              <w:keepNext w:val="0"/>
              <w:keepLines w:val="0"/>
              <w:pageBreakBefore w:val="0"/>
              <w:widowControl/>
              <w:kinsoku/>
              <w:wordWrap/>
              <w:overflowPunct/>
              <w:topLinePunct w:val="0"/>
              <w:autoSpaceDE/>
              <w:autoSpaceDN/>
              <w:bidi w:val="0"/>
              <w:adjustRightInd/>
              <w:snapToGrid/>
              <w:spacing w:line="240" w:lineRule="auto"/>
              <w:jc w:val="left"/>
              <w:textAlignment w:val="center"/>
              <w:rPr>
                <w:rFonts w:ascii="宋体" w:cs="宋体"/>
                <w:color w:val="auto"/>
                <w:kern w:val="0"/>
                <w:sz w:val="20"/>
                <w:szCs w:val="20"/>
              </w:rPr>
            </w:pPr>
            <w:r>
              <w:rPr>
                <w:rFonts w:hint="eastAsia" w:ascii="宋体" w:hAnsi="宋体" w:eastAsia="宋体" w:cs="宋体"/>
                <w:color w:val="auto"/>
                <w:kern w:val="0"/>
                <w:sz w:val="20"/>
                <w:szCs w:val="20"/>
              </w:rPr>
              <w:t xml:space="preserve">         上年结转</w:t>
            </w:r>
          </w:p>
        </w:tc>
        <w:tc>
          <w:tcPr>
            <w:tcW w:w="3712" w:type="dxa"/>
            <w:gridSpan w:val="2"/>
            <w:tcBorders>
              <w:tl2br w:val="nil"/>
              <w:tr2bl w:val="nil"/>
            </w:tcBorders>
            <w:shd w:val="clear" w:color="auto" w:fill="auto"/>
            <w:vAlign w:val="center"/>
          </w:tcPr>
          <w:p w14:paraId="62FBFE3A">
            <w:pPr>
              <w:keepNext w:val="0"/>
              <w:keepLines w:val="0"/>
              <w:pageBreakBefore w:val="0"/>
              <w:widowControl/>
              <w:kinsoku/>
              <w:wordWrap/>
              <w:overflowPunct/>
              <w:topLinePunct w:val="0"/>
              <w:autoSpaceDE/>
              <w:autoSpaceDN/>
              <w:bidi w:val="0"/>
              <w:adjustRightInd/>
              <w:snapToGrid/>
              <w:spacing w:line="240" w:lineRule="auto"/>
              <w:jc w:val="right"/>
              <w:rPr>
                <w:rFonts w:ascii="宋体" w:hAnsi="宋体" w:eastAsia="宋体" w:cs="宋体"/>
                <w:color w:val="auto"/>
                <w:kern w:val="0"/>
                <w:sz w:val="20"/>
                <w:szCs w:val="20"/>
                <w:lang w:val="en-US" w:eastAsia="zh-CN" w:bidi="ar-SA"/>
              </w:rPr>
            </w:pPr>
            <w:r>
              <w:rPr>
                <w:rFonts w:hint="eastAsia" w:ascii="宋体" w:hAnsi="宋体" w:eastAsia="宋体" w:cs="宋体"/>
                <w:color w:val="auto"/>
                <w:kern w:val="0"/>
                <w:sz w:val="20"/>
                <w:szCs w:val="20"/>
              </w:rPr>
              <w:t xml:space="preserve">      0.00 </w:t>
            </w:r>
          </w:p>
        </w:tc>
      </w:tr>
      <w:tr w14:paraId="32D023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jc w:val="center"/>
        </w:trPr>
        <w:tc>
          <w:tcPr>
            <w:tcW w:w="1443" w:type="dxa"/>
            <w:gridSpan w:val="3"/>
            <w:vMerge w:val="continue"/>
            <w:tcBorders>
              <w:tl2br w:val="nil"/>
              <w:tr2bl w:val="nil"/>
            </w:tcBorders>
            <w:vAlign w:val="center"/>
          </w:tcPr>
          <w:p w14:paraId="5D7DB252">
            <w:pPr>
              <w:keepNext w:val="0"/>
              <w:keepLines w:val="0"/>
              <w:pageBreakBefore w:val="0"/>
              <w:kinsoku/>
              <w:wordWrap/>
              <w:overflowPunct/>
              <w:topLinePunct w:val="0"/>
              <w:autoSpaceDE/>
              <w:autoSpaceDN/>
              <w:bidi w:val="0"/>
              <w:adjustRightInd/>
              <w:snapToGrid/>
              <w:spacing w:line="240" w:lineRule="auto"/>
              <w:jc w:val="center"/>
              <w:rPr>
                <w:rFonts w:ascii="宋体" w:cs="宋体"/>
                <w:color w:val="auto"/>
                <w:kern w:val="0"/>
                <w:sz w:val="20"/>
                <w:szCs w:val="20"/>
              </w:rPr>
            </w:pPr>
          </w:p>
        </w:tc>
        <w:tc>
          <w:tcPr>
            <w:tcW w:w="3865" w:type="dxa"/>
            <w:gridSpan w:val="2"/>
            <w:tcBorders>
              <w:tl2br w:val="nil"/>
              <w:tr2bl w:val="nil"/>
            </w:tcBorders>
            <w:vAlign w:val="center"/>
          </w:tcPr>
          <w:p w14:paraId="58D7E939">
            <w:pPr>
              <w:keepNext w:val="0"/>
              <w:keepLines w:val="0"/>
              <w:pageBreakBefore w:val="0"/>
              <w:widowControl/>
              <w:kinsoku/>
              <w:wordWrap/>
              <w:overflowPunct/>
              <w:topLinePunct w:val="0"/>
              <w:autoSpaceDE/>
              <w:autoSpaceDN/>
              <w:bidi w:val="0"/>
              <w:adjustRightInd/>
              <w:snapToGrid/>
              <w:spacing w:line="240" w:lineRule="auto"/>
              <w:jc w:val="left"/>
              <w:textAlignment w:val="center"/>
              <w:rPr>
                <w:rFonts w:ascii="宋体" w:cs="宋体"/>
                <w:color w:val="auto"/>
                <w:kern w:val="0"/>
                <w:sz w:val="20"/>
                <w:szCs w:val="20"/>
              </w:rPr>
            </w:pPr>
            <w:r>
              <w:rPr>
                <w:rFonts w:hint="eastAsia" w:ascii="宋体" w:hAnsi="宋体" w:eastAsia="宋体" w:cs="宋体"/>
                <w:color w:val="auto"/>
                <w:kern w:val="0"/>
                <w:sz w:val="20"/>
                <w:szCs w:val="20"/>
              </w:rPr>
              <w:t xml:space="preserve">         其他资金</w:t>
            </w:r>
          </w:p>
        </w:tc>
        <w:tc>
          <w:tcPr>
            <w:tcW w:w="3712" w:type="dxa"/>
            <w:gridSpan w:val="2"/>
            <w:tcBorders>
              <w:tl2br w:val="nil"/>
              <w:tr2bl w:val="nil"/>
            </w:tcBorders>
            <w:vAlign w:val="center"/>
          </w:tcPr>
          <w:p w14:paraId="6DBEAE06">
            <w:pPr>
              <w:keepNext w:val="0"/>
              <w:keepLines w:val="0"/>
              <w:pageBreakBefore w:val="0"/>
              <w:kinsoku/>
              <w:wordWrap/>
              <w:overflowPunct/>
              <w:topLinePunct w:val="0"/>
              <w:autoSpaceDE/>
              <w:autoSpaceDN/>
              <w:bidi w:val="0"/>
              <w:adjustRightInd/>
              <w:snapToGrid/>
              <w:spacing w:line="240" w:lineRule="auto"/>
              <w:jc w:val="right"/>
              <w:rPr>
                <w:rFonts w:hint="default" w:ascii="宋体" w:cs="宋体" w:eastAsiaTheme="minorEastAsia"/>
                <w:color w:val="auto"/>
                <w:kern w:val="0"/>
                <w:sz w:val="20"/>
                <w:szCs w:val="20"/>
                <w:lang w:val="en-US" w:eastAsia="zh-CN"/>
              </w:rPr>
            </w:pPr>
            <w:r>
              <w:rPr>
                <w:rFonts w:hint="eastAsia" w:ascii="宋体" w:hAnsi="宋体" w:eastAsia="宋体" w:cs="宋体"/>
                <w:color w:val="auto"/>
                <w:kern w:val="0"/>
                <w:sz w:val="20"/>
                <w:szCs w:val="20"/>
              </w:rPr>
              <w:t>0.00</w:t>
            </w:r>
          </w:p>
        </w:tc>
      </w:tr>
      <w:tr w14:paraId="1BD0A6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5" w:hRule="atLeast"/>
          <w:jc w:val="center"/>
        </w:trPr>
        <w:tc>
          <w:tcPr>
            <w:tcW w:w="438" w:type="dxa"/>
            <w:tcBorders>
              <w:tl2br w:val="nil"/>
              <w:tr2bl w:val="nil"/>
            </w:tcBorders>
            <w:vAlign w:val="center"/>
          </w:tcPr>
          <w:p w14:paraId="688B22A3">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ascii="宋体" w:cs="宋体"/>
                <w:color w:val="auto"/>
                <w:kern w:val="0"/>
                <w:sz w:val="20"/>
                <w:szCs w:val="20"/>
              </w:rPr>
            </w:pPr>
            <w:r>
              <w:rPr>
                <w:rFonts w:hint="eastAsia" w:ascii="宋体" w:hAnsi="宋体" w:eastAsia="宋体" w:cs="宋体"/>
                <w:color w:val="auto"/>
                <w:kern w:val="0"/>
                <w:sz w:val="20"/>
                <w:szCs w:val="20"/>
              </w:rPr>
              <w:t>年度</w:t>
            </w:r>
            <w:r>
              <w:rPr>
                <w:rFonts w:hint="eastAsia" w:ascii="宋体" w:hAnsi="宋体" w:eastAsia="宋体" w:cs="宋体"/>
                <w:color w:val="auto"/>
                <w:kern w:val="0"/>
                <w:sz w:val="20"/>
                <w:szCs w:val="20"/>
              </w:rPr>
              <w:br w:type="textWrapping"/>
            </w:r>
            <w:r>
              <w:rPr>
                <w:rFonts w:hint="eastAsia" w:ascii="宋体" w:hAnsi="宋体" w:eastAsia="宋体" w:cs="宋体"/>
                <w:color w:val="auto"/>
                <w:kern w:val="0"/>
                <w:sz w:val="20"/>
                <w:szCs w:val="20"/>
              </w:rPr>
              <w:t>目标</w:t>
            </w:r>
          </w:p>
        </w:tc>
        <w:tc>
          <w:tcPr>
            <w:tcW w:w="8582" w:type="dxa"/>
            <w:gridSpan w:val="6"/>
            <w:tcBorders>
              <w:tl2br w:val="nil"/>
              <w:tr2bl w:val="nil"/>
            </w:tcBorders>
            <w:vAlign w:val="center"/>
          </w:tcPr>
          <w:p w14:paraId="2E0893A0">
            <w:pPr>
              <w:keepNext w:val="0"/>
              <w:keepLines w:val="0"/>
              <w:pageBreakBefore w:val="0"/>
              <w:kinsoku/>
              <w:wordWrap/>
              <w:overflowPunct/>
              <w:topLinePunct w:val="0"/>
              <w:autoSpaceDE/>
              <w:autoSpaceDN/>
              <w:bidi w:val="0"/>
              <w:adjustRightInd/>
              <w:snapToGrid/>
              <w:spacing w:line="240" w:lineRule="auto"/>
              <w:jc w:val="left"/>
              <w:rPr>
                <w:rFonts w:ascii="宋体" w:cs="宋体"/>
                <w:color w:val="auto"/>
                <w:kern w:val="0"/>
                <w:sz w:val="20"/>
                <w:szCs w:val="20"/>
              </w:rPr>
            </w:pPr>
            <w:r>
              <w:rPr>
                <w:rFonts w:hint="eastAsia" w:ascii="宋体" w:cs="宋体"/>
                <w:color w:val="auto"/>
                <w:kern w:val="0"/>
                <w:sz w:val="20"/>
                <w:szCs w:val="20"/>
              </w:rPr>
              <w:t>保障编外人员的工资、社会保障、公积金等人员支出，维护单位的安定团结，弥补公用经费不足,更好地履行单位职责，保障单位职能运行。</w:t>
            </w:r>
          </w:p>
        </w:tc>
      </w:tr>
      <w:tr w14:paraId="6929AA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8" w:hRule="atLeast"/>
          <w:jc w:val="center"/>
        </w:trPr>
        <w:tc>
          <w:tcPr>
            <w:tcW w:w="438" w:type="dxa"/>
            <w:vMerge w:val="restart"/>
            <w:tcBorders>
              <w:tl2br w:val="nil"/>
              <w:tr2bl w:val="nil"/>
            </w:tcBorders>
            <w:vAlign w:val="center"/>
          </w:tcPr>
          <w:p w14:paraId="1A84C702">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ascii="宋体" w:cs="宋体"/>
                <w:color w:val="auto"/>
                <w:kern w:val="0"/>
                <w:sz w:val="20"/>
                <w:szCs w:val="20"/>
              </w:rPr>
            </w:pPr>
            <w:r>
              <w:rPr>
                <w:rFonts w:hint="eastAsia" w:ascii="宋体" w:hAnsi="宋体" w:eastAsia="宋体" w:cs="宋体"/>
                <w:color w:val="auto"/>
                <w:kern w:val="0"/>
                <w:sz w:val="20"/>
                <w:szCs w:val="20"/>
              </w:rPr>
              <w:t>绩</w:t>
            </w:r>
            <w:r>
              <w:rPr>
                <w:rFonts w:hint="eastAsia" w:ascii="宋体" w:hAnsi="宋体" w:eastAsia="宋体" w:cs="宋体"/>
                <w:color w:val="auto"/>
                <w:kern w:val="0"/>
                <w:sz w:val="20"/>
                <w:szCs w:val="20"/>
              </w:rPr>
              <w:br w:type="textWrapping"/>
            </w:r>
            <w:r>
              <w:rPr>
                <w:rFonts w:hint="eastAsia" w:ascii="宋体" w:hAnsi="宋体" w:eastAsia="宋体" w:cs="宋体"/>
                <w:color w:val="auto"/>
                <w:kern w:val="0"/>
                <w:sz w:val="20"/>
                <w:szCs w:val="20"/>
              </w:rPr>
              <w:t>效</w:t>
            </w:r>
            <w:r>
              <w:rPr>
                <w:rFonts w:hint="eastAsia" w:ascii="宋体" w:hAnsi="宋体" w:eastAsia="宋体" w:cs="宋体"/>
                <w:color w:val="auto"/>
                <w:kern w:val="0"/>
                <w:sz w:val="20"/>
                <w:szCs w:val="20"/>
              </w:rPr>
              <w:br w:type="textWrapping"/>
            </w:r>
            <w:r>
              <w:rPr>
                <w:rFonts w:hint="eastAsia" w:ascii="宋体" w:hAnsi="宋体" w:eastAsia="宋体" w:cs="宋体"/>
                <w:color w:val="auto"/>
                <w:kern w:val="0"/>
                <w:sz w:val="20"/>
                <w:szCs w:val="20"/>
              </w:rPr>
              <w:t>指</w:t>
            </w:r>
            <w:r>
              <w:rPr>
                <w:rFonts w:hint="eastAsia" w:ascii="宋体" w:hAnsi="宋体" w:eastAsia="宋体" w:cs="宋体"/>
                <w:color w:val="auto"/>
                <w:kern w:val="0"/>
                <w:sz w:val="20"/>
                <w:szCs w:val="20"/>
              </w:rPr>
              <w:br w:type="textWrapping"/>
            </w:r>
            <w:r>
              <w:rPr>
                <w:rFonts w:hint="eastAsia" w:ascii="宋体" w:hAnsi="宋体" w:eastAsia="宋体" w:cs="宋体"/>
                <w:color w:val="auto"/>
                <w:kern w:val="0"/>
                <w:sz w:val="20"/>
                <w:szCs w:val="20"/>
              </w:rPr>
              <w:t>标</w:t>
            </w:r>
          </w:p>
        </w:tc>
        <w:tc>
          <w:tcPr>
            <w:tcW w:w="723" w:type="dxa"/>
            <w:tcBorders>
              <w:tl2br w:val="nil"/>
              <w:tr2bl w:val="nil"/>
            </w:tcBorders>
            <w:vAlign w:val="center"/>
          </w:tcPr>
          <w:p w14:paraId="3A1B4D7C">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ascii="宋体" w:cs="宋体"/>
                <w:color w:val="auto"/>
                <w:kern w:val="0"/>
                <w:sz w:val="20"/>
                <w:szCs w:val="20"/>
              </w:rPr>
            </w:pPr>
            <w:r>
              <w:rPr>
                <w:rFonts w:hint="eastAsia" w:ascii="宋体" w:hAnsi="宋体" w:eastAsia="宋体" w:cs="宋体"/>
                <w:color w:val="auto"/>
                <w:kern w:val="0"/>
                <w:sz w:val="20"/>
                <w:szCs w:val="20"/>
              </w:rPr>
              <w:t>一级</w:t>
            </w:r>
            <w:r>
              <w:rPr>
                <w:rFonts w:hint="eastAsia" w:ascii="宋体" w:hAnsi="宋体" w:eastAsia="宋体" w:cs="宋体"/>
                <w:color w:val="auto"/>
                <w:kern w:val="0"/>
                <w:sz w:val="20"/>
                <w:szCs w:val="20"/>
              </w:rPr>
              <w:br w:type="textWrapping"/>
            </w:r>
            <w:r>
              <w:rPr>
                <w:rFonts w:hint="eastAsia" w:ascii="宋体" w:hAnsi="宋体" w:eastAsia="宋体" w:cs="宋体"/>
                <w:color w:val="auto"/>
                <w:kern w:val="0"/>
                <w:sz w:val="20"/>
                <w:szCs w:val="20"/>
              </w:rPr>
              <w:t>指标</w:t>
            </w:r>
          </w:p>
        </w:tc>
        <w:tc>
          <w:tcPr>
            <w:tcW w:w="1051" w:type="dxa"/>
            <w:gridSpan w:val="2"/>
            <w:tcBorders>
              <w:tl2br w:val="nil"/>
              <w:tr2bl w:val="nil"/>
            </w:tcBorders>
            <w:vAlign w:val="center"/>
          </w:tcPr>
          <w:p w14:paraId="6F8FC54E">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ascii="宋体" w:cs="宋体"/>
                <w:color w:val="auto"/>
                <w:kern w:val="0"/>
                <w:sz w:val="20"/>
                <w:szCs w:val="20"/>
              </w:rPr>
            </w:pPr>
            <w:r>
              <w:rPr>
                <w:rFonts w:hint="eastAsia" w:ascii="宋体" w:hAnsi="宋体" w:eastAsia="宋体" w:cs="宋体"/>
                <w:color w:val="auto"/>
                <w:kern w:val="0"/>
                <w:sz w:val="20"/>
                <w:szCs w:val="20"/>
              </w:rPr>
              <w:t>二级指标</w:t>
            </w:r>
          </w:p>
        </w:tc>
        <w:tc>
          <w:tcPr>
            <w:tcW w:w="3096" w:type="dxa"/>
            <w:tcBorders>
              <w:tl2br w:val="nil"/>
              <w:tr2bl w:val="nil"/>
            </w:tcBorders>
            <w:vAlign w:val="center"/>
          </w:tcPr>
          <w:p w14:paraId="6C5ED6D8">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ascii="宋体" w:cs="宋体"/>
                <w:color w:val="auto"/>
                <w:kern w:val="0"/>
                <w:sz w:val="20"/>
                <w:szCs w:val="20"/>
              </w:rPr>
            </w:pPr>
            <w:r>
              <w:rPr>
                <w:rFonts w:hint="eastAsia" w:ascii="宋体" w:hAnsi="宋体" w:eastAsia="宋体" w:cs="宋体"/>
                <w:color w:val="auto"/>
                <w:kern w:val="0"/>
                <w:sz w:val="20"/>
                <w:szCs w:val="20"/>
              </w:rPr>
              <w:t>三级指标</w:t>
            </w:r>
          </w:p>
        </w:tc>
        <w:tc>
          <w:tcPr>
            <w:tcW w:w="3712" w:type="dxa"/>
            <w:gridSpan w:val="2"/>
            <w:tcBorders>
              <w:tl2br w:val="nil"/>
              <w:tr2bl w:val="nil"/>
            </w:tcBorders>
            <w:vAlign w:val="center"/>
          </w:tcPr>
          <w:p w14:paraId="70FC7546">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ascii="宋体" w:cs="宋体"/>
                <w:color w:val="auto"/>
                <w:kern w:val="0"/>
                <w:sz w:val="20"/>
                <w:szCs w:val="20"/>
              </w:rPr>
            </w:pPr>
            <w:r>
              <w:rPr>
                <w:rFonts w:hint="eastAsia" w:ascii="宋体" w:hAnsi="宋体" w:eastAsia="宋体" w:cs="宋体"/>
                <w:color w:val="auto"/>
                <w:kern w:val="0"/>
                <w:sz w:val="20"/>
                <w:szCs w:val="20"/>
              </w:rPr>
              <w:t>指标值</w:t>
            </w:r>
          </w:p>
        </w:tc>
      </w:tr>
      <w:tr w14:paraId="67695D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3" w:hRule="atLeast"/>
          <w:jc w:val="center"/>
        </w:trPr>
        <w:tc>
          <w:tcPr>
            <w:tcW w:w="438" w:type="dxa"/>
            <w:vMerge w:val="continue"/>
            <w:tcBorders>
              <w:tl2br w:val="nil"/>
              <w:tr2bl w:val="nil"/>
            </w:tcBorders>
            <w:vAlign w:val="center"/>
          </w:tcPr>
          <w:p w14:paraId="4BB477ED">
            <w:pPr>
              <w:keepNext w:val="0"/>
              <w:keepLines w:val="0"/>
              <w:pageBreakBefore w:val="0"/>
              <w:kinsoku/>
              <w:wordWrap/>
              <w:overflowPunct/>
              <w:topLinePunct w:val="0"/>
              <w:autoSpaceDE/>
              <w:autoSpaceDN/>
              <w:bidi w:val="0"/>
              <w:adjustRightInd/>
              <w:snapToGrid/>
              <w:spacing w:line="240" w:lineRule="auto"/>
              <w:jc w:val="center"/>
              <w:rPr>
                <w:rFonts w:ascii="宋体" w:cs="宋体"/>
                <w:color w:val="auto"/>
                <w:kern w:val="0"/>
                <w:sz w:val="20"/>
                <w:szCs w:val="20"/>
              </w:rPr>
            </w:pPr>
          </w:p>
        </w:tc>
        <w:tc>
          <w:tcPr>
            <w:tcW w:w="723" w:type="dxa"/>
            <w:vMerge w:val="restart"/>
            <w:tcBorders>
              <w:tl2br w:val="nil"/>
              <w:tr2bl w:val="nil"/>
            </w:tcBorders>
            <w:vAlign w:val="center"/>
          </w:tcPr>
          <w:p w14:paraId="69410304">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ascii="宋体" w:cs="宋体"/>
                <w:color w:val="auto"/>
                <w:kern w:val="0"/>
                <w:sz w:val="20"/>
                <w:szCs w:val="20"/>
              </w:rPr>
            </w:pPr>
            <w:r>
              <w:rPr>
                <w:rFonts w:hint="eastAsia" w:ascii="宋体" w:hAnsi="宋体" w:eastAsia="宋体" w:cs="宋体"/>
                <w:color w:val="auto"/>
                <w:kern w:val="0"/>
                <w:sz w:val="20"/>
                <w:szCs w:val="20"/>
              </w:rPr>
              <w:t>产出指标</w:t>
            </w:r>
          </w:p>
        </w:tc>
        <w:tc>
          <w:tcPr>
            <w:tcW w:w="1051" w:type="dxa"/>
            <w:gridSpan w:val="2"/>
            <w:tcBorders>
              <w:tl2br w:val="nil"/>
              <w:tr2bl w:val="nil"/>
            </w:tcBorders>
            <w:vAlign w:val="center"/>
          </w:tcPr>
          <w:p w14:paraId="390A9165">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ascii="宋体" w:cs="宋体"/>
                <w:color w:val="auto"/>
                <w:kern w:val="0"/>
                <w:sz w:val="20"/>
                <w:szCs w:val="20"/>
              </w:rPr>
            </w:pPr>
            <w:r>
              <w:rPr>
                <w:rFonts w:hint="eastAsia" w:ascii="宋体" w:hAnsi="宋体" w:eastAsia="宋体" w:cs="宋体"/>
                <w:color w:val="auto"/>
                <w:kern w:val="0"/>
                <w:sz w:val="20"/>
                <w:szCs w:val="20"/>
              </w:rPr>
              <w:t>数量指标</w:t>
            </w:r>
          </w:p>
        </w:tc>
        <w:tc>
          <w:tcPr>
            <w:tcW w:w="3096" w:type="dxa"/>
            <w:tcBorders>
              <w:tl2br w:val="nil"/>
              <w:tr2bl w:val="nil"/>
            </w:tcBorders>
            <w:vAlign w:val="center"/>
          </w:tcPr>
          <w:p w14:paraId="59857246">
            <w:pPr>
              <w:keepNext w:val="0"/>
              <w:keepLines w:val="0"/>
              <w:widowControl/>
              <w:suppressLineNumbers w:val="0"/>
              <w:jc w:val="left"/>
              <w:textAlignment w:val="center"/>
              <w:rPr>
                <w:rFonts w:ascii="宋体" w:cs="宋体"/>
                <w:color w:val="auto"/>
                <w:kern w:val="0"/>
                <w:sz w:val="20"/>
                <w:szCs w:val="20"/>
              </w:rPr>
            </w:pPr>
            <w:r>
              <w:rPr>
                <w:rFonts w:hint="eastAsia" w:ascii="宋体" w:hAnsi="宋体" w:eastAsia="宋体" w:cs="宋体"/>
                <w:i w:val="0"/>
                <w:iCs w:val="0"/>
                <w:color w:val="auto"/>
                <w:kern w:val="0"/>
                <w:sz w:val="20"/>
                <w:szCs w:val="20"/>
                <w:u w:val="none"/>
                <w:lang w:val="en-US" w:eastAsia="zh-CN" w:bidi="ar"/>
              </w:rPr>
              <w:t>指标1：保障单位正常运转</w:t>
            </w:r>
          </w:p>
        </w:tc>
        <w:tc>
          <w:tcPr>
            <w:tcW w:w="3712" w:type="dxa"/>
            <w:gridSpan w:val="2"/>
            <w:tcBorders>
              <w:tl2br w:val="nil"/>
              <w:tr2bl w:val="nil"/>
            </w:tcBorders>
            <w:vAlign w:val="center"/>
          </w:tcPr>
          <w:p w14:paraId="464F2A42">
            <w:pPr>
              <w:keepNext w:val="0"/>
              <w:keepLines w:val="0"/>
              <w:widowControl/>
              <w:suppressLineNumbers w:val="0"/>
              <w:jc w:val="center"/>
              <w:textAlignment w:val="center"/>
              <w:rPr>
                <w:rFonts w:ascii="宋体" w:cs="宋体"/>
                <w:color w:val="auto"/>
                <w:kern w:val="0"/>
                <w:sz w:val="20"/>
                <w:szCs w:val="20"/>
              </w:rPr>
            </w:pPr>
            <w:r>
              <w:rPr>
                <w:rFonts w:hint="eastAsia" w:ascii="宋体" w:hAnsi="宋体" w:eastAsia="宋体" w:cs="宋体"/>
                <w:i w:val="0"/>
                <w:iCs w:val="0"/>
                <w:color w:val="auto"/>
                <w:kern w:val="0"/>
                <w:sz w:val="20"/>
                <w:szCs w:val="20"/>
                <w:u w:val="none"/>
                <w:lang w:val="en-US" w:eastAsia="zh-CN" w:bidi="ar"/>
              </w:rPr>
              <w:t>按实际发生执行</w:t>
            </w:r>
          </w:p>
        </w:tc>
      </w:tr>
      <w:tr w14:paraId="5F25B1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3" w:hRule="atLeast"/>
          <w:jc w:val="center"/>
        </w:trPr>
        <w:tc>
          <w:tcPr>
            <w:tcW w:w="438" w:type="dxa"/>
            <w:vMerge w:val="continue"/>
            <w:tcBorders>
              <w:tl2br w:val="nil"/>
              <w:tr2bl w:val="nil"/>
            </w:tcBorders>
            <w:vAlign w:val="center"/>
          </w:tcPr>
          <w:p w14:paraId="6312CAD3">
            <w:pPr>
              <w:keepNext w:val="0"/>
              <w:keepLines w:val="0"/>
              <w:pageBreakBefore w:val="0"/>
              <w:kinsoku/>
              <w:wordWrap/>
              <w:overflowPunct/>
              <w:topLinePunct w:val="0"/>
              <w:autoSpaceDE/>
              <w:autoSpaceDN/>
              <w:bidi w:val="0"/>
              <w:adjustRightInd/>
              <w:snapToGrid/>
              <w:spacing w:line="240" w:lineRule="auto"/>
              <w:jc w:val="center"/>
              <w:rPr>
                <w:rFonts w:ascii="宋体" w:cs="宋体"/>
                <w:color w:val="auto"/>
                <w:kern w:val="0"/>
                <w:sz w:val="20"/>
                <w:szCs w:val="20"/>
              </w:rPr>
            </w:pPr>
          </w:p>
        </w:tc>
        <w:tc>
          <w:tcPr>
            <w:tcW w:w="723" w:type="dxa"/>
            <w:vMerge w:val="continue"/>
            <w:tcBorders>
              <w:tl2br w:val="nil"/>
              <w:tr2bl w:val="nil"/>
            </w:tcBorders>
            <w:vAlign w:val="center"/>
          </w:tcPr>
          <w:p w14:paraId="6EF9726E">
            <w:pPr>
              <w:keepNext w:val="0"/>
              <w:keepLines w:val="0"/>
              <w:pageBreakBefore w:val="0"/>
              <w:kinsoku/>
              <w:wordWrap/>
              <w:overflowPunct/>
              <w:topLinePunct w:val="0"/>
              <w:autoSpaceDE/>
              <w:autoSpaceDN/>
              <w:bidi w:val="0"/>
              <w:adjustRightInd/>
              <w:snapToGrid/>
              <w:spacing w:line="240" w:lineRule="auto"/>
              <w:jc w:val="center"/>
              <w:rPr>
                <w:rFonts w:ascii="宋体" w:cs="宋体"/>
                <w:color w:val="auto"/>
                <w:kern w:val="0"/>
                <w:sz w:val="20"/>
                <w:szCs w:val="20"/>
              </w:rPr>
            </w:pPr>
          </w:p>
        </w:tc>
        <w:tc>
          <w:tcPr>
            <w:tcW w:w="1051" w:type="dxa"/>
            <w:gridSpan w:val="2"/>
            <w:tcBorders>
              <w:tl2br w:val="nil"/>
              <w:tr2bl w:val="nil"/>
            </w:tcBorders>
            <w:vAlign w:val="center"/>
          </w:tcPr>
          <w:p w14:paraId="1C3D8152">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ascii="宋体" w:cs="宋体"/>
                <w:color w:val="auto"/>
                <w:kern w:val="0"/>
                <w:sz w:val="20"/>
                <w:szCs w:val="20"/>
              </w:rPr>
            </w:pPr>
            <w:r>
              <w:rPr>
                <w:rFonts w:hint="eastAsia" w:ascii="宋体" w:hAnsi="宋体" w:eastAsia="宋体" w:cs="宋体"/>
                <w:color w:val="auto"/>
                <w:kern w:val="0"/>
                <w:sz w:val="20"/>
                <w:szCs w:val="20"/>
              </w:rPr>
              <w:t>质量指标</w:t>
            </w:r>
          </w:p>
        </w:tc>
        <w:tc>
          <w:tcPr>
            <w:tcW w:w="3096" w:type="dxa"/>
            <w:tcBorders>
              <w:tl2br w:val="nil"/>
              <w:tr2bl w:val="nil"/>
            </w:tcBorders>
            <w:vAlign w:val="center"/>
          </w:tcPr>
          <w:p w14:paraId="34A47FEB">
            <w:pPr>
              <w:keepNext w:val="0"/>
              <w:keepLines w:val="0"/>
              <w:widowControl/>
              <w:suppressLineNumbers w:val="0"/>
              <w:jc w:val="left"/>
              <w:textAlignment w:val="center"/>
              <w:rPr>
                <w:rFonts w:ascii="宋体" w:cs="宋体"/>
                <w:color w:val="auto"/>
                <w:kern w:val="0"/>
                <w:sz w:val="20"/>
                <w:szCs w:val="20"/>
              </w:rPr>
            </w:pPr>
            <w:r>
              <w:rPr>
                <w:rFonts w:hint="eastAsia" w:ascii="宋体" w:hAnsi="宋体" w:eastAsia="宋体" w:cs="宋体"/>
                <w:i w:val="0"/>
                <w:iCs w:val="0"/>
                <w:color w:val="auto"/>
                <w:kern w:val="0"/>
                <w:sz w:val="20"/>
                <w:szCs w:val="20"/>
                <w:u w:val="none"/>
                <w:lang w:val="en-US" w:eastAsia="zh-CN" w:bidi="ar"/>
              </w:rPr>
              <w:t>指标1：资金支付合规性</w:t>
            </w:r>
          </w:p>
        </w:tc>
        <w:tc>
          <w:tcPr>
            <w:tcW w:w="3712" w:type="dxa"/>
            <w:gridSpan w:val="2"/>
            <w:tcBorders>
              <w:tl2br w:val="nil"/>
              <w:tr2bl w:val="nil"/>
            </w:tcBorders>
            <w:vAlign w:val="center"/>
          </w:tcPr>
          <w:p w14:paraId="131B9D51">
            <w:pPr>
              <w:keepNext w:val="0"/>
              <w:keepLines w:val="0"/>
              <w:widowControl/>
              <w:suppressLineNumbers w:val="0"/>
              <w:jc w:val="center"/>
              <w:textAlignment w:val="center"/>
              <w:rPr>
                <w:rFonts w:ascii="宋体" w:cs="宋体"/>
                <w:color w:val="auto"/>
                <w:kern w:val="0"/>
                <w:sz w:val="20"/>
                <w:szCs w:val="20"/>
              </w:rPr>
            </w:pPr>
            <w:r>
              <w:rPr>
                <w:rFonts w:hint="eastAsia" w:ascii="宋体" w:hAnsi="宋体" w:eastAsia="宋体" w:cs="宋体"/>
                <w:i w:val="0"/>
                <w:iCs w:val="0"/>
                <w:color w:val="auto"/>
                <w:kern w:val="0"/>
                <w:sz w:val="20"/>
                <w:szCs w:val="20"/>
                <w:u w:val="none"/>
                <w:lang w:val="en-US" w:eastAsia="zh-CN" w:bidi="ar"/>
              </w:rPr>
              <w:t>严格执行相关财经法规、制度</w:t>
            </w:r>
          </w:p>
        </w:tc>
      </w:tr>
      <w:tr w14:paraId="75F4DF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3" w:hRule="atLeast"/>
          <w:jc w:val="center"/>
        </w:trPr>
        <w:tc>
          <w:tcPr>
            <w:tcW w:w="438" w:type="dxa"/>
            <w:vMerge w:val="continue"/>
            <w:tcBorders>
              <w:tl2br w:val="nil"/>
              <w:tr2bl w:val="nil"/>
            </w:tcBorders>
            <w:vAlign w:val="center"/>
          </w:tcPr>
          <w:p w14:paraId="23312C37">
            <w:pPr>
              <w:keepNext w:val="0"/>
              <w:keepLines w:val="0"/>
              <w:pageBreakBefore w:val="0"/>
              <w:kinsoku/>
              <w:wordWrap/>
              <w:overflowPunct/>
              <w:topLinePunct w:val="0"/>
              <w:autoSpaceDE/>
              <w:autoSpaceDN/>
              <w:bidi w:val="0"/>
              <w:adjustRightInd/>
              <w:snapToGrid/>
              <w:spacing w:line="240" w:lineRule="auto"/>
              <w:jc w:val="center"/>
              <w:rPr>
                <w:rFonts w:ascii="宋体" w:cs="宋体"/>
                <w:color w:val="auto"/>
                <w:kern w:val="0"/>
                <w:sz w:val="20"/>
                <w:szCs w:val="20"/>
              </w:rPr>
            </w:pPr>
          </w:p>
        </w:tc>
        <w:tc>
          <w:tcPr>
            <w:tcW w:w="723" w:type="dxa"/>
            <w:vMerge w:val="continue"/>
            <w:tcBorders>
              <w:tl2br w:val="nil"/>
              <w:tr2bl w:val="nil"/>
            </w:tcBorders>
            <w:vAlign w:val="center"/>
          </w:tcPr>
          <w:p w14:paraId="4E62B8B6">
            <w:pPr>
              <w:keepNext w:val="0"/>
              <w:keepLines w:val="0"/>
              <w:pageBreakBefore w:val="0"/>
              <w:kinsoku/>
              <w:wordWrap/>
              <w:overflowPunct/>
              <w:topLinePunct w:val="0"/>
              <w:autoSpaceDE/>
              <w:autoSpaceDN/>
              <w:bidi w:val="0"/>
              <w:adjustRightInd/>
              <w:snapToGrid/>
              <w:spacing w:line="240" w:lineRule="auto"/>
              <w:jc w:val="center"/>
              <w:rPr>
                <w:rFonts w:ascii="宋体" w:cs="宋体"/>
                <w:color w:val="auto"/>
                <w:kern w:val="0"/>
                <w:sz w:val="20"/>
                <w:szCs w:val="20"/>
              </w:rPr>
            </w:pPr>
          </w:p>
        </w:tc>
        <w:tc>
          <w:tcPr>
            <w:tcW w:w="1051" w:type="dxa"/>
            <w:gridSpan w:val="2"/>
            <w:tcBorders>
              <w:tl2br w:val="nil"/>
              <w:tr2bl w:val="nil"/>
            </w:tcBorders>
            <w:vAlign w:val="center"/>
          </w:tcPr>
          <w:p w14:paraId="594A767C">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ascii="宋体" w:cs="宋体"/>
                <w:color w:val="auto"/>
                <w:kern w:val="0"/>
                <w:sz w:val="20"/>
                <w:szCs w:val="20"/>
              </w:rPr>
            </w:pPr>
            <w:r>
              <w:rPr>
                <w:rFonts w:hint="eastAsia" w:ascii="宋体" w:hAnsi="宋体" w:eastAsia="宋体" w:cs="宋体"/>
                <w:color w:val="auto"/>
                <w:kern w:val="0"/>
                <w:sz w:val="20"/>
                <w:szCs w:val="20"/>
              </w:rPr>
              <w:t>时效指标</w:t>
            </w:r>
          </w:p>
        </w:tc>
        <w:tc>
          <w:tcPr>
            <w:tcW w:w="3096" w:type="dxa"/>
            <w:tcBorders>
              <w:tl2br w:val="nil"/>
              <w:tr2bl w:val="nil"/>
            </w:tcBorders>
            <w:vAlign w:val="center"/>
          </w:tcPr>
          <w:p w14:paraId="5F62B00E">
            <w:pPr>
              <w:keepNext w:val="0"/>
              <w:keepLines w:val="0"/>
              <w:widowControl/>
              <w:suppressLineNumbers w:val="0"/>
              <w:jc w:val="left"/>
              <w:textAlignment w:val="center"/>
              <w:rPr>
                <w:rFonts w:ascii="宋体" w:cs="宋体"/>
                <w:color w:val="auto"/>
                <w:kern w:val="0"/>
                <w:sz w:val="20"/>
                <w:szCs w:val="20"/>
              </w:rPr>
            </w:pPr>
            <w:r>
              <w:rPr>
                <w:rFonts w:hint="eastAsia" w:ascii="宋体" w:hAnsi="宋体" w:eastAsia="宋体" w:cs="宋体"/>
                <w:i w:val="0"/>
                <w:iCs w:val="0"/>
                <w:color w:val="auto"/>
                <w:kern w:val="0"/>
                <w:sz w:val="20"/>
                <w:szCs w:val="20"/>
                <w:u w:val="none"/>
                <w:lang w:val="en-US" w:eastAsia="zh-CN" w:bidi="ar"/>
              </w:rPr>
              <w:t>指标1：资金支付时效性</w:t>
            </w:r>
          </w:p>
        </w:tc>
        <w:tc>
          <w:tcPr>
            <w:tcW w:w="3712" w:type="dxa"/>
            <w:gridSpan w:val="2"/>
            <w:tcBorders>
              <w:tl2br w:val="nil"/>
              <w:tr2bl w:val="nil"/>
            </w:tcBorders>
            <w:vAlign w:val="center"/>
          </w:tcPr>
          <w:p w14:paraId="3566405A">
            <w:pPr>
              <w:keepNext w:val="0"/>
              <w:keepLines w:val="0"/>
              <w:widowControl/>
              <w:suppressLineNumbers w:val="0"/>
              <w:jc w:val="center"/>
              <w:textAlignment w:val="center"/>
              <w:rPr>
                <w:rFonts w:ascii="宋体" w:cs="宋体"/>
                <w:color w:val="auto"/>
                <w:kern w:val="0"/>
                <w:sz w:val="20"/>
                <w:szCs w:val="20"/>
              </w:rPr>
            </w:pPr>
            <w:r>
              <w:rPr>
                <w:rFonts w:hint="eastAsia" w:ascii="宋体" w:hAnsi="宋体" w:eastAsia="宋体" w:cs="宋体"/>
                <w:i w:val="0"/>
                <w:iCs w:val="0"/>
                <w:color w:val="auto"/>
                <w:kern w:val="0"/>
                <w:sz w:val="20"/>
                <w:szCs w:val="20"/>
                <w:u w:val="none"/>
                <w:lang w:val="en-US" w:eastAsia="zh-CN" w:bidi="ar"/>
              </w:rPr>
              <w:t>按序时进度完成</w:t>
            </w:r>
          </w:p>
        </w:tc>
      </w:tr>
      <w:tr w14:paraId="5EFAF9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3" w:hRule="atLeast"/>
          <w:jc w:val="center"/>
        </w:trPr>
        <w:tc>
          <w:tcPr>
            <w:tcW w:w="438" w:type="dxa"/>
            <w:vMerge w:val="continue"/>
            <w:tcBorders>
              <w:tl2br w:val="nil"/>
              <w:tr2bl w:val="nil"/>
            </w:tcBorders>
            <w:vAlign w:val="center"/>
          </w:tcPr>
          <w:p w14:paraId="3BF3EA48">
            <w:pPr>
              <w:keepNext w:val="0"/>
              <w:keepLines w:val="0"/>
              <w:pageBreakBefore w:val="0"/>
              <w:kinsoku/>
              <w:wordWrap/>
              <w:overflowPunct/>
              <w:topLinePunct w:val="0"/>
              <w:autoSpaceDE/>
              <w:autoSpaceDN/>
              <w:bidi w:val="0"/>
              <w:adjustRightInd/>
              <w:snapToGrid/>
              <w:spacing w:line="240" w:lineRule="auto"/>
              <w:jc w:val="center"/>
              <w:rPr>
                <w:rFonts w:ascii="宋体" w:cs="宋体"/>
                <w:color w:val="auto"/>
                <w:kern w:val="0"/>
                <w:sz w:val="20"/>
                <w:szCs w:val="20"/>
              </w:rPr>
            </w:pPr>
          </w:p>
        </w:tc>
        <w:tc>
          <w:tcPr>
            <w:tcW w:w="723" w:type="dxa"/>
            <w:vMerge w:val="continue"/>
            <w:tcBorders>
              <w:tl2br w:val="nil"/>
              <w:tr2bl w:val="nil"/>
            </w:tcBorders>
            <w:vAlign w:val="center"/>
          </w:tcPr>
          <w:p w14:paraId="7D153EEE">
            <w:pPr>
              <w:keepNext w:val="0"/>
              <w:keepLines w:val="0"/>
              <w:pageBreakBefore w:val="0"/>
              <w:kinsoku/>
              <w:wordWrap/>
              <w:overflowPunct/>
              <w:topLinePunct w:val="0"/>
              <w:autoSpaceDE/>
              <w:autoSpaceDN/>
              <w:bidi w:val="0"/>
              <w:adjustRightInd/>
              <w:snapToGrid/>
              <w:spacing w:line="240" w:lineRule="auto"/>
              <w:jc w:val="center"/>
              <w:rPr>
                <w:rFonts w:ascii="宋体" w:cs="宋体"/>
                <w:color w:val="auto"/>
                <w:kern w:val="0"/>
                <w:sz w:val="20"/>
                <w:szCs w:val="20"/>
              </w:rPr>
            </w:pPr>
          </w:p>
        </w:tc>
        <w:tc>
          <w:tcPr>
            <w:tcW w:w="1051" w:type="dxa"/>
            <w:gridSpan w:val="2"/>
            <w:tcBorders>
              <w:tl2br w:val="nil"/>
              <w:tr2bl w:val="nil"/>
            </w:tcBorders>
            <w:vAlign w:val="center"/>
          </w:tcPr>
          <w:p w14:paraId="1487E8B3">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ascii="宋体" w:cs="宋体"/>
                <w:color w:val="auto"/>
                <w:kern w:val="0"/>
                <w:sz w:val="20"/>
                <w:szCs w:val="20"/>
              </w:rPr>
            </w:pPr>
            <w:r>
              <w:rPr>
                <w:rFonts w:hint="eastAsia" w:ascii="宋体" w:hAnsi="宋体" w:eastAsia="宋体" w:cs="宋体"/>
                <w:color w:val="auto"/>
                <w:kern w:val="0"/>
                <w:sz w:val="20"/>
                <w:szCs w:val="20"/>
              </w:rPr>
              <w:t>成本指标</w:t>
            </w:r>
          </w:p>
        </w:tc>
        <w:tc>
          <w:tcPr>
            <w:tcW w:w="3096" w:type="dxa"/>
            <w:tcBorders>
              <w:tl2br w:val="nil"/>
              <w:tr2bl w:val="nil"/>
            </w:tcBorders>
            <w:vAlign w:val="center"/>
          </w:tcPr>
          <w:p w14:paraId="2D589ED4">
            <w:pPr>
              <w:keepNext w:val="0"/>
              <w:keepLines w:val="0"/>
              <w:widowControl/>
              <w:suppressLineNumbers w:val="0"/>
              <w:jc w:val="left"/>
              <w:textAlignment w:val="center"/>
              <w:rPr>
                <w:rFonts w:ascii="宋体" w:cs="宋体"/>
                <w:color w:val="auto"/>
                <w:kern w:val="0"/>
                <w:sz w:val="20"/>
                <w:szCs w:val="20"/>
              </w:rPr>
            </w:pPr>
            <w:r>
              <w:rPr>
                <w:rFonts w:hint="eastAsia" w:ascii="宋体" w:hAnsi="宋体" w:eastAsia="宋体" w:cs="宋体"/>
                <w:i w:val="0"/>
                <w:iCs w:val="0"/>
                <w:color w:val="auto"/>
                <w:kern w:val="0"/>
                <w:sz w:val="20"/>
                <w:szCs w:val="20"/>
                <w:u w:val="none"/>
                <w:lang w:val="en-US" w:eastAsia="zh-CN" w:bidi="ar"/>
              </w:rPr>
              <w:t>指标1：项目总经费</w:t>
            </w:r>
          </w:p>
        </w:tc>
        <w:tc>
          <w:tcPr>
            <w:tcW w:w="3712" w:type="dxa"/>
            <w:gridSpan w:val="2"/>
            <w:tcBorders>
              <w:tl2br w:val="nil"/>
              <w:tr2bl w:val="nil"/>
            </w:tcBorders>
            <w:vAlign w:val="center"/>
          </w:tcPr>
          <w:p w14:paraId="25D386F2">
            <w:pPr>
              <w:keepNext w:val="0"/>
              <w:keepLines w:val="0"/>
              <w:widowControl/>
              <w:suppressLineNumbers w:val="0"/>
              <w:jc w:val="center"/>
              <w:textAlignment w:val="center"/>
              <w:rPr>
                <w:rFonts w:ascii="宋体" w:cs="宋体"/>
                <w:color w:val="auto"/>
                <w:kern w:val="0"/>
                <w:sz w:val="20"/>
                <w:szCs w:val="20"/>
              </w:rPr>
            </w:pPr>
            <w:r>
              <w:rPr>
                <w:rFonts w:hint="eastAsia" w:ascii="宋体" w:hAnsi="宋体" w:eastAsia="宋体" w:cs="宋体"/>
                <w:i w:val="0"/>
                <w:iCs w:val="0"/>
                <w:color w:val="auto"/>
                <w:kern w:val="0"/>
                <w:sz w:val="20"/>
                <w:szCs w:val="20"/>
                <w:u w:val="none"/>
                <w:lang w:val="en-US" w:eastAsia="zh-CN" w:bidi="ar"/>
              </w:rPr>
              <w:t>≤100万元</w:t>
            </w:r>
          </w:p>
        </w:tc>
      </w:tr>
      <w:tr w14:paraId="3067CA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3" w:hRule="atLeast"/>
          <w:jc w:val="center"/>
        </w:trPr>
        <w:tc>
          <w:tcPr>
            <w:tcW w:w="438" w:type="dxa"/>
            <w:vMerge w:val="continue"/>
            <w:tcBorders>
              <w:tl2br w:val="nil"/>
              <w:tr2bl w:val="nil"/>
            </w:tcBorders>
            <w:vAlign w:val="center"/>
          </w:tcPr>
          <w:p w14:paraId="36ECCF83">
            <w:pPr>
              <w:keepNext w:val="0"/>
              <w:keepLines w:val="0"/>
              <w:pageBreakBefore w:val="0"/>
              <w:kinsoku/>
              <w:wordWrap/>
              <w:overflowPunct/>
              <w:topLinePunct w:val="0"/>
              <w:autoSpaceDE/>
              <w:autoSpaceDN/>
              <w:bidi w:val="0"/>
              <w:adjustRightInd/>
              <w:snapToGrid/>
              <w:spacing w:line="240" w:lineRule="auto"/>
              <w:jc w:val="center"/>
              <w:rPr>
                <w:rFonts w:ascii="宋体" w:cs="宋体"/>
                <w:color w:val="auto"/>
                <w:kern w:val="0"/>
                <w:sz w:val="20"/>
                <w:szCs w:val="20"/>
              </w:rPr>
            </w:pPr>
          </w:p>
        </w:tc>
        <w:tc>
          <w:tcPr>
            <w:tcW w:w="723" w:type="dxa"/>
            <w:vMerge w:val="restart"/>
            <w:tcBorders>
              <w:tl2br w:val="nil"/>
              <w:tr2bl w:val="nil"/>
            </w:tcBorders>
            <w:vAlign w:val="center"/>
          </w:tcPr>
          <w:p w14:paraId="210E469C">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ascii="宋体" w:cs="宋体"/>
                <w:color w:val="auto"/>
                <w:kern w:val="0"/>
                <w:sz w:val="20"/>
                <w:szCs w:val="20"/>
              </w:rPr>
            </w:pPr>
            <w:r>
              <w:rPr>
                <w:rFonts w:hint="eastAsia" w:ascii="宋体" w:hAnsi="宋体" w:eastAsia="宋体" w:cs="宋体"/>
                <w:color w:val="auto"/>
                <w:kern w:val="0"/>
                <w:sz w:val="20"/>
                <w:szCs w:val="20"/>
              </w:rPr>
              <w:t>效益指标</w:t>
            </w:r>
          </w:p>
        </w:tc>
        <w:tc>
          <w:tcPr>
            <w:tcW w:w="1051" w:type="dxa"/>
            <w:gridSpan w:val="2"/>
            <w:tcBorders>
              <w:tl2br w:val="nil"/>
              <w:tr2bl w:val="nil"/>
            </w:tcBorders>
            <w:vAlign w:val="center"/>
          </w:tcPr>
          <w:p w14:paraId="6B3AEA6B">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ascii="宋体" w:cs="宋体"/>
                <w:color w:val="auto"/>
                <w:kern w:val="0"/>
                <w:sz w:val="20"/>
                <w:szCs w:val="20"/>
              </w:rPr>
            </w:pPr>
            <w:r>
              <w:rPr>
                <w:rFonts w:hint="eastAsia" w:ascii="宋体" w:hAnsi="宋体" w:eastAsia="宋体" w:cs="宋体"/>
                <w:color w:val="auto"/>
                <w:kern w:val="0"/>
                <w:sz w:val="20"/>
                <w:szCs w:val="20"/>
              </w:rPr>
              <w:t>经济效益指标</w:t>
            </w:r>
          </w:p>
        </w:tc>
        <w:tc>
          <w:tcPr>
            <w:tcW w:w="3096" w:type="dxa"/>
            <w:tcBorders>
              <w:tl2br w:val="nil"/>
              <w:tr2bl w:val="nil"/>
            </w:tcBorders>
            <w:vAlign w:val="center"/>
          </w:tcPr>
          <w:p w14:paraId="086A2E32">
            <w:pPr>
              <w:keepNext w:val="0"/>
              <w:keepLines w:val="0"/>
              <w:widowControl/>
              <w:suppressLineNumbers w:val="0"/>
              <w:jc w:val="left"/>
              <w:textAlignment w:val="center"/>
              <w:rPr>
                <w:rFonts w:ascii="宋体" w:cs="宋体"/>
                <w:color w:val="auto"/>
                <w:kern w:val="0"/>
                <w:sz w:val="20"/>
                <w:szCs w:val="20"/>
              </w:rPr>
            </w:pPr>
            <w:r>
              <w:rPr>
                <w:rFonts w:hint="eastAsia" w:ascii="宋体" w:hAnsi="宋体" w:eastAsia="宋体" w:cs="宋体"/>
                <w:i w:val="0"/>
                <w:iCs w:val="0"/>
                <w:color w:val="auto"/>
                <w:kern w:val="0"/>
                <w:sz w:val="20"/>
                <w:szCs w:val="20"/>
                <w:u w:val="none"/>
                <w:lang w:val="en-US" w:eastAsia="zh-CN" w:bidi="ar"/>
              </w:rPr>
              <w:t>指标1：加强疾病预防控制，促进经济发展</w:t>
            </w:r>
          </w:p>
        </w:tc>
        <w:tc>
          <w:tcPr>
            <w:tcW w:w="3712" w:type="dxa"/>
            <w:gridSpan w:val="2"/>
            <w:tcBorders>
              <w:tl2br w:val="nil"/>
              <w:tr2bl w:val="nil"/>
            </w:tcBorders>
            <w:vAlign w:val="center"/>
          </w:tcPr>
          <w:p w14:paraId="3F324BA4">
            <w:pPr>
              <w:keepNext w:val="0"/>
              <w:keepLines w:val="0"/>
              <w:widowControl/>
              <w:suppressLineNumbers w:val="0"/>
              <w:jc w:val="center"/>
              <w:textAlignment w:val="center"/>
              <w:rPr>
                <w:rFonts w:hint="eastAsia" w:ascii="宋体" w:cs="宋体" w:eastAsiaTheme="minorEastAsia"/>
                <w:color w:val="auto"/>
                <w:kern w:val="0"/>
                <w:sz w:val="20"/>
                <w:szCs w:val="20"/>
                <w:lang w:val="en-US" w:eastAsia="zh-CN"/>
              </w:rPr>
            </w:pPr>
            <w:r>
              <w:rPr>
                <w:rFonts w:hint="eastAsia" w:ascii="宋体" w:hAnsi="宋体" w:eastAsia="宋体" w:cs="宋体"/>
                <w:i w:val="0"/>
                <w:iCs w:val="0"/>
                <w:color w:val="auto"/>
                <w:kern w:val="0"/>
                <w:sz w:val="20"/>
                <w:szCs w:val="20"/>
                <w:u w:val="none"/>
                <w:lang w:val="en-US" w:eastAsia="zh-CN" w:bidi="ar"/>
              </w:rPr>
              <w:t>较高</w:t>
            </w:r>
          </w:p>
        </w:tc>
      </w:tr>
      <w:tr w14:paraId="7B7260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3" w:hRule="atLeast"/>
          <w:jc w:val="center"/>
        </w:trPr>
        <w:tc>
          <w:tcPr>
            <w:tcW w:w="438" w:type="dxa"/>
            <w:vMerge w:val="continue"/>
            <w:tcBorders>
              <w:tl2br w:val="nil"/>
              <w:tr2bl w:val="nil"/>
            </w:tcBorders>
            <w:vAlign w:val="center"/>
          </w:tcPr>
          <w:p w14:paraId="768781C9">
            <w:pPr>
              <w:keepNext w:val="0"/>
              <w:keepLines w:val="0"/>
              <w:pageBreakBefore w:val="0"/>
              <w:kinsoku/>
              <w:wordWrap/>
              <w:overflowPunct/>
              <w:topLinePunct w:val="0"/>
              <w:autoSpaceDE/>
              <w:autoSpaceDN/>
              <w:bidi w:val="0"/>
              <w:adjustRightInd/>
              <w:snapToGrid/>
              <w:spacing w:line="240" w:lineRule="auto"/>
              <w:jc w:val="center"/>
              <w:rPr>
                <w:rFonts w:ascii="宋体" w:cs="宋体"/>
                <w:color w:val="auto"/>
                <w:kern w:val="0"/>
                <w:sz w:val="20"/>
                <w:szCs w:val="20"/>
              </w:rPr>
            </w:pPr>
          </w:p>
        </w:tc>
        <w:tc>
          <w:tcPr>
            <w:tcW w:w="723" w:type="dxa"/>
            <w:vMerge w:val="continue"/>
            <w:tcBorders>
              <w:tl2br w:val="nil"/>
              <w:tr2bl w:val="nil"/>
            </w:tcBorders>
            <w:vAlign w:val="center"/>
          </w:tcPr>
          <w:p w14:paraId="71183E6A">
            <w:pPr>
              <w:keepNext w:val="0"/>
              <w:keepLines w:val="0"/>
              <w:pageBreakBefore w:val="0"/>
              <w:kinsoku/>
              <w:wordWrap/>
              <w:overflowPunct/>
              <w:topLinePunct w:val="0"/>
              <w:autoSpaceDE/>
              <w:autoSpaceDN/>
              <w:bidi w:val="0"/>
              <w:adjustRightInd/>
              <w:snapToGrid/>
              <w:spacing w:line="240" w:lineRule="auto"/>
              <w:jc w:val="center"/>
              <w:rPr>
                <w:rFonts w:ascii="宋体" w:cs="宋体"/>
                <w:color w:val="auto"/>
                <w:kern w:val="0"/>
                <w:sz w:val="20"/>
                <w:szCs w:val="20"/>
              </w:rPr>
            </w:pPr>
          </w:p>
        </w:tc>
        <w:tc>
          <w:tcPr>
            <w:tcW w:w="1051" w:type="dxa"/>
            <w:gridSpan w:val="2"/>
            <w:tcBorders>
              <w:tl2br w:val="nil"/>
              <w:tr2bl w:val="nil"/>
            </w:tcBorders>
            <w:vAlign w:val="center"/>
          </w:tcPr>
          <w:p w14:paraId="36311B05">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ascii="宋体" w:cs="宋体"/>
                <w:color w:val="auto"/>
                <w:kern w:val="0"/>
                <w:sz w:val="20"/>
                <w:szCs w:val="20"/>
              </w:rPr>
            </w:pPr>
            <w:r>
              <w:rPr>
                <w:rFonts w:hint="eastAsia" w:ascii="宋体" w:hAnsi="宋体" w:eastAsia="宋体" w:cs="宋体"/>
                <w:color w:val="auto"/>
                <w:kern w:val="0"/>
                <w:sz w:val="20"/>
                <w:szCs w:val="20"/>
              </w:rPr>
              <w:t>社会效益指标</w:t>
            </w:r>
          </w:p>
        </w:tc>
        <w:tc>
          <w:tcPr>
            <w:tcW w:w="3096" w:type="dxa"/>
            <w:tcBorders>
              <w:tl2br w:val="nil"/>
              <w:tr2bl w:val="nil"/>
            </w:tcBorders>
            <w:vAlign w:val="center"/>
          </w:tcPr>
          <w:p w14:paraId="6BF4612D">
            <w:pPr>
              <w:keepNext w:val="0"/>
              <w:keepLines w:val="0"/>
              <w:widowControl/>
              <w:suppressLineNumbers w:val="0"/>
              <w:jc w:val="left"/>
              <w:textAlignment w:val="center"/>
              <w:rPr>
                <w:rFonts w:ascii="宋体" w:cs="宋体"/>
                <w:color w:val="auto"/>
                <w:kern w:val="0"/>
                <w:sz w:val="20"/>
                <w:szCs w:val="20"/>
              </w:rPr>
            </w:pPr>
            <w:r>
              <w:rPr>
                <w:rFonts w:hint="eastAsia" w:ascii="宋体" w:hAnsi="宋体" w:eastAsia="宋体" w:cs="宋体"/>
                <w:i w:val="0"/>
                <w:iCs w:val="0"/>
                <w:color w:val="auto"/>
                <w:kern w:val="0"/>
                <w:sz w:val="20"/>
                <w:szCs w:val="20"/>
                <w:u w:val="none"/>
                <w:lang w:val="en-US" w:eastAsia="zh-CN" w:bidi="ar"/>
              </w:rPr>
              <w:t>指标1：加强疾病预防控制、传染病报告及处置等</w:t>
            </w:r>
          </w:p>
        </w:tc>
        <w:tc>
          <w:tcPr>
            <w:tcW w:w="3712" w:type="dxa"/>
            <w:gridSpan w:val="2"/>
            <w:tcBorders>
              <w:tl2br w:val="nil"/>
              <w:tr2bl w:val="nil"/>
            </w:tcBorders>
            <w:vAlign w:val="center"/>
          </w:tcPr>
          <w:p w14:paraId="06F992E9">
            <w:pPr>
              <w:keepNext w:val="0"/>
              <w:keepLines w:val="0"/>
              <w:widowControl/>
              <w:suppressLineNumbers w:val="0"/>
              <w:jc w:val="center"/>
              <w:textAlignment w:val="center"/>
              <w:rPr>
                <w:rFonts w:hint="default" w:ascii="宋体" w:cs="宋体" w:eastAsiaTheme="minorEastAsia"/>
                <w:color w:val="auto"/>
                <w:kern w:val="0"/>
                <w:sz w:val="20"/>
                <w:szCs w:val="20"/>
                <w:lang w:val="en-US" w:eastAsia="zh-CN"/>
              </w:rPr>
            </w:pPr>
            <w:r>
              <w:rPr>
                <w:rFonts w:hint="eastAsia" w:ascii="宋体" w:hAnsi="宋体" w:eastAsia="宋体" w:cs="宋体"/>
                <w:i w:val="0"/>
                <w:iCs w:val="0"/>
                <w:color w:val="auto"/>
                <w:kern w:val="0"/>
                <w:sz w:val="20"/>
                <w:szCs w:val="20"/>
                <w:u w:val="none"/>
                <w:lang w:val="en-US" w:eastAsia="zh-CN" w:bidi="ar"/>
              </w:rPr>
              <w:t>较高</w:t>
            </w:r>
          </w:p>
        </w:tc>
      </w:tr>
      <w:tr w14:paraId="21EFE5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3" w:hRule="atLeast"/>
          <w:jc w:val="center"/>
        </w:trPr>
        <w:tc>
          <w:tcPr>
            <w:tcW w:w="438" w:type="dxa"/>
            <w:vMerge w:val="continue"/>
            <w:tcBorders>
              <w:tl2br w:val="nil"/>
              <w:tr2bl w:val="nil"/>
            </w:tcBorders>
            <w:vAlign w:val="center"/>
          </w:tcPr>
          <w:p w14:paraId="44271813">
            <w:pPr>
              <w:keepNext w:val="0"/>
              <w:keepLines w:val="0"/>
              <w:pageBreakBefore w:val="0"/>
              <w:kinsoku/>
              <w:wordWrap/>
              <w:overflowPunct/>
              <w:topLinePunct w:val="0"/>
              <w:autoSpaceDE/>
              <w:autoSpaceDN/>
              <w:bidi w:val="0"/>
              <w:adjustRightInd/>
              <w:snapToGrid/>
              <w:spacing w:line="240" w:lineRule="auto"/>
              <w:jc w:val="center"/>
              <w:rPr>
                <w:rFonts w:ascii="宋体" w:cs="宋体"/>
                <w:color w:val="auto"/>
                <w:kern w:val="0"/>
                <w:sz w:val="20"/>
                <w:szCs w:val="20"/>
              </w:rPr>
            </w:pPr>
          </w:p>
        </w:tc>
        <w:tc>
          <w:tcPr>
            <w:tcW w:w="723" w:type="dxa"/>
            <w:vMerge w:val="continue"/>
            <w:tcBorders>
              <w:tl2br w:val="nil"/>
              <w:tr2bl w:val="nil"/>
            </w:tcBorders>
            <w:vAlign w:val="center"/>
          </w:tcPr>
          <w:p w14:paraId="68020CEF">
            <w:pPr>
              <w:keepNext w:val="0"/>
              <w:keepLines w:val="0"/>
              <w:pageBreakBefore w:val="0"/>
              <w:kinsoku/>
              <w:wordWrap/>
              <w:overflowPunct/>
              <w:topLinePunct w:val="0"/>
              <w:autoSpaceDE/>
              <w:autoSpaceDN/>
              <w:bidi w:val="0"/>
              <w:adjustRightInd/>
              <w:snapToGrid/>
              <w:spacing w:line="240" w:lineRule="auto"/>
              <w:jc w:val="center"/>
              <w:rPr>
                <w:rFonts w:ascii="宋体" w:cs="宋体"/>
                <w:color w:val="auto"/>
                <w:kern w:val="0"/>
                <w:sz w:val="20"/>
                <w:szCs w:val="20"/>
              </w:rPr>
            </w:pPr>
          </w:p>
        </w:tc>
        <w:tc>
          <w:tcPr>
            <w:tcW w:w="1051" w:type="dxa"/>
            <w:gridSpan w:val="2"/>
            <w:tcBorders>
              <w:tl2br w:val="nil"/>
              <w:tr2bl w:val="nil"/>
            </w:tcBorders>
            <w:vAlign w:val="center"/>
          </w:tcPr>
          <w:p w14:paraId="0CD00AC7">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ascii="宋体" w:cs="宋体"/>
                <w:color w:val="auto"/>
                <w:kern w:val="0"/>
                <w:sz w:val="20"/>
                <w:szCs w:val="20"/>
              </w:rPr>
            </w:pPr>
            <w:r>
              <w:rPr>
                <w:rFonts w:hint="eastAsia" w:ascii="宋体" w:hAnsi="宋体" w:eastAsia="宋体" w:cs="宋体"/>
                <w:color w:val="auto"/>
                <w:kern w:val="0"/>
                <w:sz w:val="20"/>
                <w:szCs w:val="20"/>
              </w:rPr>
              <w:t>生态效益指标</w:t>
            </w:r>
          </w:p>
        </w:tc>
        <w:tc>
          <w:tcPr>
            <w:tcW w:w="3096" w:type="dxa"/>
            <w:tcBorders>
              <w:tl2br w:val="nil"/>
              <w:tr2bl w:val="nil"/>
            </w:tcBorders>
            <w:vAlign w:val="center"/>
          </w:tcPr>
          <w:p w14:paraId="719F7F46">
            <w:pPr>
              <w:keepNext w:val="0"/>
              <w:keepLines w:val="0"/>
              <w:widowControl/>
              <w:suppressLineNumbers w:val="0"/>
              <w:jc w:val="left"/>
              <w:textAlignment w:val="center"/>
              <w:rPr>
                <w:rFonts w:ascii="宋体" w:cs="宋体"/>
                <w:color w:val="auto"/>
                <w:kern w:val="0"/>
                <w:sz w:val="20"/>
                <w:szCs w:val="20"/>
              </w:rPr>
            </w:pPr>
            <w:r>
              <w:rPr>
                <w:rFonts w:hint="eastAsia" w:ascii="宋体" w:hAnsi="宋体" w:eastAsia="宋体" w:cs="宋体"/>
                <w:i w:val="0"/>
                <w:iCs w:val="0"/>
                <w:color w:val="auto"/>
                <w:kern w:val="0"/>
                <w:sz w:val="20"/>
                <w:szCs w:val="20"/>
                <w:u w:val="none"/>
                <w:lang w:val="en-US" w:eastAsia="zh-CN" w:bidi="ar"/>
              </w:rPr>
              <w:t>指标1：加强疾病控制、减少环境污染</w:t>
            </w:r>
          </w:p>
        </w:tc>
        <w:tc>
          <w:tcPr>
            <w:tcW w:w="3712" w:type="dxa"/>
            <w:gridSpan w:val="2"/>
            <w:tcBorders>
              <w:tl2br w:val="nil"/>
              <w:tr2bl w:val="nil"/>
            </w:tcBorders>
            <w:vAlign w:val="center"/>
          </w:tcPr>
          <w:p w14:paraId="6579082F">
            <w:pPr>
              <w:keepNext w:val="0"/>
              <w:keepLines w:val="0"/>
              <w:widowControl/>
              <w:suppressLineNumbers w:val="0"/>
              <w:jc w:val="center"/>
              <w:textAlignment w:val="center"/>
              <w:rPr>
                <w:rFonts w:ascii="宋体" w:cs="宋体"/>
                <w:color w:val="auto"/>
                <w:kern w:val="0"/>
                <w:sz w:val="20"/>
                <w:szCs w:val="20"/>
              </w:rPr>
            </w:pPr>
            <w:r>
              <w:rPr>
                <w:rFonts w:hint="eastAsia" w:ascii="宋体" w:hAnsi="宋体" w:eastAsia="宋体" w:cs="宋体"/>
                <w:i w:val="0"/>
                <w:iCs w:val="0"/>
                <w:color w:val="auto"/>
                <w:kern w:val="0"/>
                <w:sz w:val="20"/>
                <w:szCs w:val="20"/>
                <w:u w:val="none"/>
                <w:lang w:val="en-US" w:eastAsia="zh-CN" w:bidi="ar"/>
              </w:rPr>
              <w:t>较高</w:t>
            </w:r>
          </w:p>
        </w:tc>
      </w:tr>
      <w:tr w14:paraId="2C7E2D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jc w:val="center"/>
        </w:trPr>
        <w:tc>
          <w:tcPr>
            <w:tcW w:w="438" w:type="dxa"/>
            <w:vMerge w:val="continue"/>
            <w:tcBorders>
              <w:tl2br w:val="nil"/>
              <w:tr2bl w:val="nil"/>
            </w:tcBorders>
            <w:vAlign w:val="center"/>
          </w:tcPr>
          <w:p w14:paraId="77BDD3C9">
            <w:pPr>
              <w:keepNext w:val="0"/>
              <w:keepLines w:val="0"/>
              <w:pageBreakBefore w:val="0"/>
              <w:kinsoku/>
              <w:wordWrap/>
              <w:overflowPunct/>
              <w:topLinePunct w:val="0"/>
              <w:autoSpaceDE/>
              <w:autoSpaceDN/>
              <w:bidi w:val="0"/>
              <w:adjustRightInd/>
              <w:snapToGrid/>
              <w:spacing w:line="240" w:lineRule="auto"/>
              <w:jc w:val="center"/>
              <w:rPr>
                <w:rFonts w:ascii="宋体" w:cs="宋体"/>
                <w:color w:val="auto"/>
                <w:kern w:val="0"/>
                <w:sz w:val="20"/>
                <w:szCs w:val="20"/>
              </w:rPr>
            </w:pPr>
          </w:p>
        </w:tc>
        <w:tc>
          <w:tcPr>
            <w:tcW w:w="723" w:type="dxa"/>
            <w:vMerge w:val="continue"/>
            <w:tcBorders>
              <w:tl2br w:val="nil"/>
              <w:tr2bl w:val="nil"/>
            </w:tcBorders>
            <w:vAlign w:val="center"/>
          </w:tcPr>
          <w:p w14:paraId="0265D439">
            <w:pPr>
              <w:keepNext w:val="0"/>
              <w:keepLines w:val="0"/>
              <w:pageBreakBefore w:val="0"/>
              <w:kinsoku/>
              <w:wordWrap/>
              <w:overflowPunct/>
              <w:topLinePunct w:val="0"/>
              <w:autoSpaceDE/>
              <w:autoSpaceDN/>
              <w:bidi w:val="0"/>
              <w:adjustRightInd/>
              <w:snapToGrid/>
              <w:spacing w:line="240" w:lineRule="auto"/>
              <w:jc w:val="center"/>
              <w:rPr>
                <w:rFonts w:ascii="宋体" w:cs="宋体"/>
                <w:color w:val="auto"/>
                <w:kern w:val="0"/>
                <w:sz w:val="20"/>
                <w:szCs w:val="20"/>
              </w:rPr>
            </w:pPr>
          </w:p>
        </w:tc>
        <w:tc>
          <w:tcPr>
            <w:tcW w:w="1051" w:type="dxa"/>
            <w:gridSpan w:val="2"/>
            <w:tcBorders>
              <w:tl2br w:val="nil"/>
              <w:tr2bl w:val="nil"/>
            </w:tcBorders>
            <w:vAlign w:val="center"/>
          </w:tcPr>
          <w:p w14:paraId="34E6AB8C">
            <w:pPr>
              <w:keepNext w:val="0"/>
              <w:keepLines w:val="0"/>
              <w:pageBreakBefore w:val="0"/>
              <w:widowControl/>
              <w:kinsoku/>
              <w:wordWrap/>
              <w:overflowPunct/>
              <w:topLinePunct w:val="0"/>
              <w:autoSpaceDE/>
              <w:autoSpaceDN/>
              <w:bidi w:val="0"/>
              <w:adjustRightInd/>
              <w:snapToGrid/>
              <w:spacing w:line="240" w:lineRule="auto"/>
              <w:jc w:val="center"/>
              <w:rPr>
                <w:rFonts w:ascii="宋体" w:hAnsi="宋体" w:eastAsia="宋体" w:cs="宋体"/>
                <w:color w:val="auto"/>
                <w:kern w:val="0"/>
                <w:sz w:val="20"/>
                <w:szCs w:val="20"/>
              </w:rPr>
            </w:pPr>
            <w:r>
              <w:rPr>
                <w:rFonts w:hint="eastAsia" w:ascii="宋体" w:hAnsi="宋体" w:eastAsia="宋体" w:cs="宋体"/>
                <w:color w:val="auto"/>
                <w:kern w:val="0"/>
                <w:sz w:val="20"/>
                <w:szCs w:val="20"/>
              </w:rPr>
              <w:t>可持续影响指标</w:t>
            </w:r>
          </w:p>
        </w:tc>
        <w:tc>
          <w:tcPr>
            <w:tcW w:w="3096" w:type="dxa"/>
            <w:tcBorders>
              <w:tl2br w:val="nil"/>
              <w:tr2bl w:val="nil"/>
            </w:tcBorders>
            <w:vAlign w:val="center"/>
          </w:tcPr>
          <w:p w14:paraId="2DDBFF38">
            <w:pPr>
              <w:keepNext w:val="0"/>
              <w:keepLines w:val="0"/>
              <w:widowControl/>
              <w:suppressLineNumbers w:val="0"/>
              <w:jc w:val="left"/>
              <w:textAlignment w:val="center"/>
              <w:rPr>
                <w:rFonts w:ascii="宋体" w:hAnsi="宋体" w:eastAsia="宋体" w:cs="宋体"/>
                <w:color w:val="auto"/>
                <w:kern w:val="0"/>
                <w:sz w:val="20"/>
                <w:szCs w:val="20"/>
              </w:rPr>
            </w:pPr>
            <w:r>
              <w:rPr>
                <w:rFonts w:hint="eastAsia" w:ascii="宋体" w:hAnsi="宋体" w:eastAsia="宋体" w:cs="宋体"/>
                <w:i w:val="0"/>
                <w:iCs w:val="0"/>
                <w:color w:val="auto"/>
                <w:kern w:val="0"/>
                <w:sz w:val="20"/>
                <w:szCs w:val="20"/>
                <w:u w:val="none"/>
                <w:lang w:val="en-US" w:eastAsia="zh-CN" w:bidi="ar"/>
              </w:rPr>
              <w:t>指标1：促进经济发展和社会稳定</w:t>
            </w:r>
          </w:p>
        </w:tc>
        <w:tc>
          <w:tcPr>
            <w:tcW w:w="3712" w:type="dxa"/>
            <w:gridSpan w:val="2"/>
            <w:tcBorders>
              <w:tl2br w:val="nil"/>
              <w:tr2bl w:val="nil"/>
            </w:tcBorders>
            <w:vAlign w:val="center"/>
          </w:tcPr>
          <w:p w14:paraId="70EF56CD">
            <w:pPr>
              <w:keepNext w:val="0"/>
              <w:keepLines w:val="0"/>
              <w:widowControl/>
              <w:suppressLineNumbers w:val="0"/>
              <w:jc w:val="center"/>
              <w:textAlignment w:val="center"/>
              <w:rPr>
                <w:rFonts w:ascii="宋体" w:cs="宋体"/>
                <w:color w:val="auto"/>
                <w:kern w:val="0"/>
                <w:sz w:val="20"/>
                <w:szCs w:val="20"/>
              </w:rPr>
            </w:pPr>
            <w:r>
              <w:rPr>
                <w:rFonts w:hint="eastAsia" w:ascii="宋体" w:hAnsi="宋体" w:eastAsia="宋体" w:cs="宋体"/>
                <w:i w:val="0"/>
                <w:iCs w:val="0"/>
                <w:color w:val="auto"/>
                <w:kern w:val="0"/>
                <w:sz w:val="20"/>
                <w:szCs w:val="20"/>
                <w:u w:val="none"/>
                <w:lang w:val="en-US" w:eastAsia="zh-CN" w:bidi="ar"/>
              </w:rPr>
              <w:t>较高</w:t>
            </w:r>
          </w:p>
        </w:tc>
      </w:tr>
      <w:tr w14:paraId="50F2DF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3" w:hRule="atLeast"/>
          <w:jc w:val="center"/>
        </w:trPr>
        <w:tc>
          <w:tcPr>
            <w:tcW w:w="438" w:type="dxa"/>
            <w:vMerge w:val="continue"/>
            <w:tcBorders>
              <w:tl2br w:val="nil"/>
              <w:tr2bl w:val="nil"/>
            </w:tcBorders>
            <w:vAlign w:val="center"/>
          </w:tcPr>
          <w:p w14:paraId="503DDE2B">
            <w:pPr>
              <w:keepNext w:val="0"/>
              <w:keepLines w:val="0"/>
              <w:pageBreakBefore w:val="0"/>
              <w:kinsoku/>
              <w:wordWrap/>
              <w:overflowPunct/>
              <w:topLinePunct w:val="0"/>
              <w:autoSpaceDE/>
              <w:autoSpaceDN/>
              <w:bidi w:val="0"/>
              <w:adjustRightInd/>
              <w:snapToGrid/>
              <w:spacing w:line="240" w:lineRule="auto"/>
              <w:jc w:val="center"/>
              <w:rPr>
                <w:rFonts w:ascii="宋体" w:cs="宋体"/>
                <w:color w:val="auto"/>
                <w:kern w:val="0"/>
                <w:sz w:val="20"/>
                <w:szCs w:val="20"/>
              </w:rPr>
            </w:pPr>
          </w:p>
        </w:tc>
        <w:tc>
          <w:tcPr>
            <w:tcW w:w="723" w:type="dxa"/>
            <w:tcBorders>
              <w:tl2br w:val="nil"/>
              <w:tr2bl w:val="nil"/>
            </w:tcBorders>
            <w:vAlign w:val="center"/>
          </w:tcPr>
          <w:p w14:paraId="45F57F5C">
            <w:pPr>
              <w:keepNext w:val="0"/>
              <w:keepLines w:val="0"/>
              <w:pageBreakBefore w:val="0"/>
              <w:widowControl/>
              <w:kinsoku/>
              <w:wordWrap/>
              <w:overflowPunct/>
              <w:topLinePunct w:val="0"/>
              <w:autoSpaceDE/>
              <w:autoSpaceDN/>
              <w:bidi w:val="0"/>
              <w:adjustRightInd/>
              <w:snapToGrid/>
              <w:spacing w:line="240" w:lineRule="auto"/>
              <w:jc w:val="center"/>
              <w:rPr>
                <w:rFonts w:ascii="宋体" w:hAnsi="宋体" w:eastAsia="宋体" w:cs="宋体"/>
                <w:color w:val="auto"/>
                <w:kern w:val="0"/>
                <w:sz w:val="20"/>
                <w:szCs w:val="20"/>
              </w:rPr>
            </w:pPr>
            <w:r>
              <w:rPr>
                <w:rFonts w:hint="eastAsia" w:ascii="宋体" w:hAnsi="宋体" w:eastAsia="宋体" w:cs="宋体"/>
                <w:color w:val="auto"/>
                <w:kern w:val="0"/>
                <w:sz w:val="20"/>
                <w:szCs w:val="20"/>
              </w:rPr>
              <w:t>满意度指标</w:t>
            </w:r>
          </w:p>
        </w:tc>
        <w:tc>
          <w:tcPr>
            <w:tcW w:w="1051" w:type="dxa"/>
            <w:gridSpan w:val="2"/>
            <w:tcBorders>
              <w:tl2br w:val="nil"/>
              <w:tr2bl w:val="nil"/>
            </w:tcBorders>
            <w:vAlign w:val="center"/>
          </w:tcPr>
          <w:p w14:paraId="168EA2CB">
            <w:pPr>
              <w:keepNext w:val="0"/>
              <w:keepLines w:val="0"/>
              <w:pageBreakBefore w:val="0"/>
              <w:widowControl/>
              <w:kinsoku/>
              <w:wordWrap/>
              <w:overflowPunct/>
              <w:topLinePunct w:val="0"/>
              <w:autoSpaceDE/>
              <w:autoSpaceDN/>
              <w:bidi w:val="0"/>
              <w:adjustRightInd/>
              <w:snapToGrid/>
              <w:spacing w:line="240" w:lineRule="auto"/>
              <w:jc w:val="center"/>
              <w:rPr>
                <w:rFonts w:ascii="宋体" w:hAnsi="宋体" w:eastAsia="宋体" w:cs="宋体"/>
                <w:color w:val="auto"/>
                <w:kern w:val="0"/>
                <w:sz w:val="20"/>
                <w:szCs w:val="20"/>
              </w:rPr>
            </w:pPr>
            <w:r>
              <w:rPr>
                <w:rFonts w:hint="eastAsia" w:ascii="宋体" w:hAnsi="宋体" w:eastAsia="宋体" w:cs="宋体"/>
                <w:color w:val="auto"/>
                <w:kern w:val="0"/>
                <w:sz w:val="20"/>
                <w:szCs w:val="20"/>
              </w:rPr>
              <w:t>满意度指标</w:t>
            </w:r>
          </w:p>
        </w:tc>
        <w:tc>
          <w:tcPr>
            <w:tcW w:w="3096" w:type="dxa"/>
            <w:tcBorders>
              <w:tl2br w:val="nil"/>
              <w:tr2bl w:val="nil"/>
            </w:tcBorders>
            <w:vAlign w:val="center"/>
          </w:tcPr>
          <w:p w14:paraId="6994CC7E">
            <w:pPr>
              <w:keepNext w:val="0"/>
              <w:keepLines w:val="0"/>
              <w:widowControl/>
              <w:suppressLineNumbers w:val="0"/>
              <w:jc w:val="left"/>
              <w:textAlignment w:val="center"/>
              <w:rPr>
                <w:rFonts w:ascii="宋体" w:hAnsi="宋体" w:eastAsia="宋体" w:cs="宋体"/>
                <w:color w:val="auto"/>
                <w:kern w:val="0"/>
                <w:sz w:val="20"/>
                <w:szCs w:val="20"/>
              </w:rPr>
            </w:pPr>
            <w:r>
              <w:rPr>
                <w:rFonts w:hint="eastAsia" w:ascii="宋体" w:hAnsi="宋体" w:eastAsia="宋体" w:cs="宋体"/>
                <w:i w:val="0"/>
                <w:iCs w:val="0"/>
                <w:color w:val="auto"/>
                <w:kern w:val="0"/>
                <w:sz w:val="20"/>
                <w:szCs w:val="20"/>
                <w:u w:val="none"/>
                <w:lang w:val="en-US" w:eastAsia="zh-CN" w:bidi="ar"/>
              </w:rPr>
              <w:t>指标1：服务对象满意度</w:t>
            </w:r>
          </w:p>
        </w:tc>
        <w:tc>
          <w:tcPr>
            <w:tcW w:w="3712" w:type="dxa"/>
            <w:gridSpan w:val="2"/>
            <w:tcBorders>
              <w:tl2br w:val="nil"/>
              <w:tr2bl w:val="nil"/>
            </w:tcBorders>
            <w:vAlign w:val="center"/>
          </w:tcPr>
          <w:p w14:paraId="1866BE5D">
            <w:pPr>
              <w:keepNext w:val="0"/>
              <w:keepLines w:val="0"/>
              <w:widowControl/>
              <w:suppressLineNumbers w:val="0"/>
              <w:jc w:val="center"/>
              <w:textAlignment w:val="center"/>
              <w:rPr>
                <w:rFonts w:ascii="宋体" w:cs="宋体"/>
                <w:color w:val="auto"/>
                <w:kern w:val="0"/>
                <w:sz w:val="20"/>
                <w:szCs w:val="20"/>
              </w:rPr>
            </w:pPr>
            <w:r>
              <w:rPr>
                <w:rFonts w:hint="eastAsia" w:ascii="宋体" w:hAnsi="宋体" w:eastAsia="宋体" w:cs="宋体"/>
                <w:i w:val="0"/>
                <w:iCs w:val="0"/>
                <w:color w:val="auto"/>
                <w:kern w:val="0"/>
                <w:sz w:val="20"/>
                <w:szCs w:val="20"/>
                <w:u w:val="none"/>
                <w:lang w:val="en-US" w:eastAsia="zh-CN" w:bidi="ar"/>
              </w:rPr>
              <w:t>满意</w:t>
            </w:r>
          </w:p>
        </w:tc>
      </w:tr>
    </w:tbl>
    <w:p w14:paraId="2792D622">
      <w:pPr>
        <w:rPr>
          <w:color w:val="auto"/>
        </w:rPr>
      </w:pPr>
    </w:p>
    <w:p w14:paraId="4611E0DE">
      <w:pPr>
        <w:ind w:firstLine="640" w:firstLineChars="200"/>
        <w:rPr>
          <w:rFonts w:hint="eastAsia" w:ascii="仿宋" w:hAnsi="仿宋" w:eastAsia="仿宋" w:cs="仿宋"/>
          <w:color w:val="auto"/>
          <w:kern w:val="0"/>
          <w:sz w:val="32"/>
          <w:szCs w:val="32"/>
        </w:rPr>
      </w:pPr>
      <w:r>
        <w:rPr>
          <w:rFonts w:hint="eastAsia" w:ascii="仿宋" w:hAnsi="仿宋" w:eastAsia="仿宋" w:cs="仿宋"/>
          <w:color w:val="auto"/>
          <w:kern w:val="0"/>
          <w:sz w:val="32"/>
          <w:szCs w:val="32"/>
          <w:lang w:val="en-US" w:eastAsia="zh-CN"/>
        </w:rPr>
        <w:t>6</w:t>
      </w:r>
      <w:r>
        <w:rPr>
          <w:rFonts w:hint="eastAsia" w:ascii="仿宋" w:hAnsi="仿宋" w:eastAsia="仿宋" w:cs="仿宋"/>
          <w:color w:val="auto"/>
          <w:kern w:val="0"/>
          <w:sz w:val="32"/>
          <w:szCs w:val="32"/>
        </w:rPr>
        <w:t>、“非免疫规划疫苗储存运输等费用”项目。</w:t>
      </w:r>
    </w:p>
    <w:p w14:paraId="69EA2D84">
      <w:pPr>
        <w:ind w:firstLine="640" w:firstLineChars="200"/>
        <w:rPr>
          <w:rFonts w:hint="eastAsia" w:ascii="仿宋" w:hAnsi="仿宋" w:eastAsia="仿宋" w:cs="仿宋"/>
          <w:color w:val="auto"/>
          <w:kern w:val="0"/>
          <w:sz w:val="32"/>
          <w:szCs w:val="32"/>
        </w:rPr>
      </w:pPr>
      <w:r>
        <w:rPr>
          <w:rFonts w:hint="eastAsia" w:ascii="仿宋" w:hAnsi="仿宋" w:eastAsia="仿宋" w:cs="仿宋"/>
          <w:color w:val="auto"/>
          <w:kern w:val="0"/>
          <w:sz w:val="32"/>
          <w:szCs w:val="32"/>
        </w:rPr>
        <w:t>（1）项目概述。第二类疫苗（即非免疫规划疫苗）：是指由公民自费并且自愿受种的其他疫苗。一类苗与二类苗是相对的，在国家财政允许、并且疫苗可以足够供应的情况下，二类苗也将会变为一类苗，如预防麻疹、腮腺炎、风疹的麻腮风疫苗原来是二类苗，目前已改为一类苗；同时，二类苗又是对一类苗的重要补充，许多二类苗针对的疾病发病很高，危害很大。根据《疫苗法》和《安徽省发展改革委安徽省财政厅关于继续执行非免疫规划疫苗储存运输费和接种服务费收费标准有关问题的复函》（皖发改价费函〔20</w:t>
      </w:r>
      <w:r>
        <w:rPr>
          <w:rFonts w:hint="eastAsia" w:ascii="仿宋" w:hAnsi="仿宋" w:eastAsia="仿宋" w:cs="仿宋"/>
          <w:color w:val="auto"/>
          <w:kern w:val="0"/>
          <w:sz w:val="32"/>
          <w:szCs w:val="32"/>
          <w:lang w:val="en-US" w:eastAsia="zh-CN"/>
        </w:rPr>
        <w:t>23</w:t>
      </w:r>
      <w:r>
        <w:rPr>
          <w:rFonts w:hint="eastAsia" w:ascii="仿宋" w:hAnsi="仿宋" w:eastAsia="仿宋" w:cs="仿宋"/>
          <w:color w:val="auto"/>
          <w:kern w:val="0"/>
          <w:sz w:val="32"/>
          <w:szCs w:val="32"/>
        </w:rPr>
        <w:t>〕98号）</w:t>
      </w:r>
      <w:r>
        <w:rPr>
          <w:rFonts w:hint="eastAsia" w:ascii="仿宋" w:hAnsi="仿宋" w:eastAsia="仿宋" w:cs="仿宋"/>
          <w:color w:val="auto"/>
          <w:kern w:val="0"/>
          <w:sz w:val="32"/>
          <w:szCs w:val="32"/>
          <w:lang w:eastAsia="zh-CN"/>
        </w:rPr>
        <w:t>，</w:t>
      </w:r>
      <w:r>
        <w:rPr>
          <w:rFonts w:hint="eastAsia" w:ascii="仿宋" w:hAnsi="仿宋" w:eastAsia="仿宋" w:cs="仿宋"/>
          <w:color w:val="auto"/>
          <w:kern w:val="0"/>
          <w:sz w:val="32"/>
          <w:szCs w:val="32"/>
        </w:rPr>
        <w:t>我单位向上市许可持有人收取非免疫规划疫苗储存运输费10元/支，用于非免疫规划疫苗的储存、运输和单位日常运转等</w:t>
      </w:r>
      <w:r>
        <w:rPr>
          <w:rFonts w:hint="eastAsia" w:ascii="仿宋" w:hAnsi="仿宋" w:eastAsia="仿宋" w:cs="仿宋"/>
          <w:color w:val="auto"/>
          <w:kern w:val="0"/>
          <w:sz w:val="32"/>
          <w:szCs w:val="32"/>
          <w:lang w:val="en-US" w:eastAsia="zh-CN"/>
        </w:rPr>
        <w:t>其他</w:t>
      </w:r>
      <w:r>
        <w:rPr>
          <w:rFonts w:hint="eastAsia" w:ascii="仿宋" w:hAnsi="仿宋" w:eastAsia="仿宋" w:cs="仿宋"/>
          <w:color w:val="auto"/>
          <w:kern w:val="0"/>
          <w:sz w:val="32"/>
          <w:szCs w:val="32"/>
        </w:rPr>
        <w:t>支出。</w:t>
      </w:r>
    </w:p>
    <w:p w14:paraId="369C6395">
      <w:pPr>
        <w:ind w:firstLine="640" w:firstLineChars="200"/>
        <w:rPr>
          <w:rFonts w:hint="eastAsia" w:ascii="仿宋" w:hAnsi="仿宋" w:eastAsia="仿宋" w:cs="仿宋"/>
          <w:color w:val="auto"/>
          <w:kern w:val="0"/>
          <w:sz w:val="32"/>
          <w:szCs w:val="32"/>
          <w:lang w:eastAsia="zh-CN"/>
        </w:rPr>
      </w:pPr>
      <w:r>
        <w:rPr>
          <w:rFonts w:hint="eastAsia" w:ascii="仿宋" w:hAnsi="仿宋" w:eastAsia="仿宋" w:cs="仿宋"/>
          <w:color w:val="auto"/>
          <w:kern w:val="0"/>
          <w:sz w:val="32"/>
          <w:szCs w:val="32"/>
        </w:rPr>
        <w:t>（2）立项依据。《疫苗法》和《安徽省发展改革委安徽省财政厅关于继续执行非免疫规划疫苗储存运输费和接种服务费收费标准有关问题的复函》（皖发改价费函〔20</w:t>
      </w:r>
      <w:r>
        <w:rPr>
          <w:rFonts w:hint="eastAsia" w:ascii="仿宋" w:hAnsi="仿宋" w:eastAsia="仿宋" w:cs="仿宋"/>
          <w:color w:val="auto"/>
          <w:kern w:val="0"/>
          <w:sz w:val="32"/>
          <w:szCs w:val="32"/>
          <w:lang w:val="en-US" w:eastAsia="zh-CN"/>
        </w:rPr>
        <w:t>23</w:t>
      </w:r>
      <w:r>
        <w:rPr>
          <w:rFonts w:hint="eastAsia" w:ascii="仿宋" w:hAnsi="仿宋" w:eastAsia="仿宋" w:cs="仿宋"/>
          <w:color w:val="auto"/>
          <w:kern w:val="0"/>
          <w:sz w:val="32"/>
          <w:szCs w:val="32"/>
        </w:rPr>
        <w:t>〕98号）</w:t>
      </w:r>
    </w:p>
    <w:p w14:paraId="08BB9EB3">
      <w:pPr>
        <w:ind w:firstLine="640" w:firstLineChars="200"/>
        <w:rPr>
          <w:rFonts w:hint="eastAsia" w:ascii="仿宋" w:hAnsi="仿宋" w:eastAsia="仿宋" w:cs="仿宋"/>
          <w:color w:val="auto"/>
          <w:kern w:val="0"/>
          <w:sz w:val="32"/>
          <w:szCs w:val="32"/>
          <w:lang w:eastAsia="zh-CN"/>
        </w:rPr>
      </w:pPr>
      <w:r>
        <w:rPr>
          <w:rFonts w:hint="eastAsia" w:ascii="仿宋" w:hAnsi="仿宋" w:eastAsia="仿宋" w:cs="仿宋"/>
          <w:color w:val="auto"/>
          <w:kern w:val="0"/>
          <w:sz w:val="32"/>
          <w:szCs w:val="32"/>
        </w:rPr>
        <w:t>（3）实施主体。淮北市疾病预防控制中心</w:t>
      </w:r>
      <w:r>
        <w:rPr>
          <w:rFonts w:hint="eastAsia" w:ascii="仿宋" w:hAnsi="仿宋" w:eastAsia="仿宋" w:cs="仿宋"/>
          <w:color w:val="auto"/>
          <w:kern w:val="0"/>
          <w:sz w:val="32"/>
          <w:szCs w:val="32"/>
          <w:lang w:eastAsia="zh-CN"/>
        </w:rPr>
        <w:t>。</w:t>
      </w:r>
    </w:p>
    <w:p w14:paraId="4A72F3B3">
      <w:pPr>
        <w:ind w:firstLine="640" w:firstLineChars="200"/>
        <w:rPr>
          <w:rFonts w:hint="eastAsia" w:ascii="仿宋" w:hAnsi="仿宋" w:eastAsia="仿宋" w:cs="仿宋"/>
          <w:color w:val="auto"/>
          <w:kern w:val="0"/>
          <w:sz w:val="32"/>
          <w:szCs w:val="32"/>
          <w:lang w:eastAsia="zh-CN"/>
        </w:rPr>
      </w:pPr>
      <w:r>
        <w:rPr>
          <w:rFonts w:hint="eastAsia" w:ascii="仿宋" w:hAnsi="仿宋" w:eastAsia="仿宋" w:cs="仿宋"/>
          <w:color w:val="auto"/>
          <w:kern w:val="0"/>
          <w:sz w:val="32"/>
          <w:szCs w:val="32"/>
        </w:rPr>
        <w:t>（4）起止时间。202</w:t>
      </w:r>
      <w:r>
        <w:rPr>
          <w:rFonts w:hint="eastAsia" w:ascii="仿宋" w:hAnsi="仿宋" w:eastAsia="仿宋" w:cs="仿宋"/>
          <w:color w:val="auto"/>
          <w:kern w:val="0"/>
          <w:sz w:val="32"/>
          <w:szCs w:val="32"/>
          <w:lang w:val="en-US" w:eastAsia="zh-CN"/>
        </w:rPr>
        <w:t>5</w:t>
      </w:r>
      <w:r>
        <w:rPr>
          <w:rFonts w:hint="eastAsia" w:ascii="仿宋" w:hAnsi="仿宋" w:eastAsia="仿宋" w:cs="仿宋"/>
          <w:color w:val="auto"/>
          <w:kern w:val="0"/>
          <w:sz w:val="32"/>
          <w:szCs w:val="32"/>
        </w:rPr>
        <w:t>年1-12月</w:t>
      </w:r>
      <w:r>
        <w:rPr>
          <w:rFonts w:hint="eastAsia" w:ascii="仿宋" w:hAnsi="仿宋" w:eastAsia="仿宋" w:cs="仿宋"/>
          <w:color w:val="auto"/>
          <w:kern w:val="0"/>
          <w:sz w:val="32"/>
          <w:szCs w:val="32"/>
          <w:lang w:eastAsia="zh-CN"/>
        </w:rPr>
        <w:t>。</w:t>
      </w:r>
    </w:p>
    <w:p w14:paraId="3E3B1C42">
      <w:pPr>
        <w:ind w:firstLine="640" w:firstLineChars="200"/>
        <w:rPr>
          <w:rFonts w:hint="eastAsia" w:ascii="仿宋" w:hAnsi="仿宋" w:eastAsia="仿宋" w:cs="仿宋"/>
          <w:color w:val="auto"/>
          <w:kern w:val="0"/>
          <w:sz w:val="32"/>
          <w:szCs w:val="32"/>
        </w:rPr>
      </w:pPr>
      <w:r>
        <w:rPr>
          <w:rFonts w:hint="eastAsia" w:ascii="仿宋" w:hAnsi="仿宋" w:eastAsia="仿宋" w:cs="仿宋"/>
          <w:color w:val="auto"/>
          <w:kern w:val="0"/>
          <w:sz w:val="32"/>
          <w:szCs w:val="32"/>
        </w:rPr>
        <w:t>（5）项目内容。</w:t>
      </w:r>
      <w:r>
        <w:rPr>
          <w:rFonts w:hint="eastAsia" w:ascii="仿宋_GB2312" w:eastAsia="仿宋_GB2312"/>
          <w:color w:val="auto"/>
          <w:sz w:val="32"/>
          <w:szCs w:val="32"/>
        </w:rPr>
        <w:t>主要用于非免疫规划疫苗（即二类疫苗）的储存、运输以及弥补单位运行经费不足等其他支出</w:t>
      </w:r>
      <w:r>
        <w:rPr>
          <w:rFonts w:hint="eastAsia" w:ascii="仿宋" w:hAnsi="仿宋" w:eastAsia="仿宋" w:cs="仿宋"/>
          <w:color w:val="auto"/>
          <w:kern w:val="0"/>
          <w:sz w:val="32"/>
          <w:szCs w:val="32"/>
        </w:rPr>
        <w:t>。</w:t>
      </w:r>
    </w:p>
    <w:p w14:paraId="56662D20">
      <w:pPr>
        <w:ind w:firstLine="640" w:firstLineChars="200"/>
        <w:rPr>
          <w:rFonts w:hint="eastAsia" w:ascii="仿宋" w:hAnsi="仿宋" w:eastAsia="仿宋" w:cs="仿宋"/>
          <w:color w:val="auto"/>
          <w:kern w:val="0"/>
          <w:sz w:val="32"/>
          <w:szCs w:val="32"/>
          <w:lang w:val="en-US" w:eastAsia="zh-CN"/>
        </w:rPr>
      </w:pPr>
      <w:r>
        <w:rPr>
          <w:rFonts w:hint="eastAsia" w:ascii="仿宋" w:hAnsi="仿宋" w:eastAsia="仿宋" w:cs="仿宋"/>
          <w:color w:val="auto"/>
          <w:kern w:val="0"/>
          <w:sz w:val="32"/>
          <w:szCs w:val="32"/>
        </w:rPr>
        <w:t>（6）年度预算安排。</w:t>
      </w:r>
      <w:r>
        <w:rPr>
          <w:rFonts w:hint="eastAsia" w:ascii="仿宋" w:hAnsi="仿宋" w:eastAsia="仿宋" w:cs="仿宋"/>
          <w:color w:val="auto"/>
          <w:kern w:val="0"/>
          <w:sz w:val="32"/>
          <w:szCs w:val="32"/>
          <w:lang w:val="en-US" w:eastAsia="zh-CN"/>
        </w:rPr>
        <w:t>57.4</w:t>
      </w:r>
      <w:r>
        <w:rPr>
          <w:rFonts w:hint="eastAsia" w:ascii="仿宋" w:hAnsi="仿宋" w:eastAsia="仿宋" w:cs="仿宋"/>
          <w:color w:val="auto"/>
          <w:kern w:val="0"/>
          <w:sz w:val="32"/>
          <w:szCs w:val="32"/>
        </w:rPr>
        <w:t>万元。</w:t>
      </w:r>
    </w:p>
    <w:p w14:paraId="601D024F">
      <w:pPr>
        <w:ind w:firstLine="640" w:firstLineChars="200"/>
        <w:rPr>
          <w:rFonts w:ascii="TimesNewRoman" w:hAnsi="TimesNewRoman" w:eastAsia="仿宋_GB2312" w:cs="TimesNewRoman"/>
          <w:color w:val="auto"/>
          <w:kern w:val="0"/>
          <w:sz w:val="32"/>
          <w:szCs w:val="32"/>
        </w:rPr>
      </w:pPr>
      <w:r>
        <w:rPr>
          <w:rFonts w:hint="eastAsia" w:ascii="仿宋" w:hAnsi="仿宋" w:eastAsia="仿宋" w:cs="仿宋"/>
          <w:color w:val="auto"/>
          <w:kern w:val="0"/>
          <w:sz w:val="32"/>
          <w:szCs w:val="32"/>
        </w:rPr>
        <w:t>（7）绩效目标。满足社会不同人群对疫苗接种</w:t>
      </w:r>
      <w:r>
        <w:rPr>
          <w:rFonts w:hint="eastAsia" w:ascii="TimesNewRoman" w:hAnsi="TimesNewRoman" w:eastAsia="仿宋_GB2312" w:cs="TimesNewRoman"/>
          <w:color w:val="auto"/>
          <w:kern w:val="0"/>
          <w:sz w:val="32"/>
          <w:szCs w:val="32"/>
        </w:rPr>
        <w:t>的不同需要，建立高水平的免疫屏障，降低疫苗针对性传染病的发病率。</w:t>
      </w:r>
    </w:p>
    <w:tbl>
      <w:tblPr>
        <w:tblStyle w:val="5"/>
        <w:tblW w:w="90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38"/>
        <w:gridCol w:w="723"/>
        <w:gridCol w:w="282"/>
        <w:gridCol w:w="647"/>
        <w:gridCol w:w="3000"/>
        <w:gridCol w:w="1550"/>
        <w:gridCol w:w="2380"/>
      </w:tblGrid>
      <w:tr w14:paraId="3F902C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3" w:hRule="atLeast"/>
          <w:jc w:val="center"/>
        </w:trPr>
        <w:tc>
          <w:tcPr>
            <w:tcW w:w="9020" w:type="dxa"/>
            <w:gridSpan w:val="7"/>
            <w:tcBorders>
              <w:top w:val="nil"/>
              <w:left w:val="nil"/>
              <w:bottom w:val="nil"/>
              <w:right w:val="nil"/>
            </w:tcBorders>
            <w:vAlign w:val="center"/>
          </w:tcPr>
          <w:p w14:paraId="3D7E475E">
            <w:pPr>
              <w:widowControl/>
              <w:jc w:val="center"/>
              <w:textAlignment w:val="center"/>
              <w:rPr>
                <w:rFonts w:ascii="宋体" w:cs="宋体"/>
                <w:b/>
                <w:bCs/>
                <w:color w:val="auto"/>
                <w:szCs w:val="32"/>
              </w:rPr>
            </w:pPr>
            <w:r>
              <w:rPr>
                <w:rFonts w:hint="eastAsia" w:ascii="宋体" w:hAnsi="宋体" w:eastAsia="宋体" w:cs="宋体"/>
                <w:b/>
                <w:color w:val="auto"/>
                <w:kern w:val="0"/>
                <w:sz w:val="28"/>
                <w:szCs w:val="28"/>
              </w:rPr>
              <w:t>项目支出绩效目标表</w:t>
            </w:r>
          </w:p>
        </w:tc>
      </w:tr>
      <w:tr w14:paraId="70291F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9020" w:type="dxa"/>
            <w:gridSpan w:val="7"/>
            <w:tcBorders>
              <w:top w:val="nil"/>
              <w:left w:val="nil"/>
              <w:right w:val="nil"/>
            </w:tcBorders>
            <w:vAlign w:val="center"/>
          </w:tcPr>
          <w:p w14:paraId="365D4369">
            <w:pPr>
              <w:widowControl/>
              <w:jc w:val="center"/>
              <w:textAlignment w:val="center"/>
              <w:rPr>
                <w:rFonts w:ascii="宋体" w:cs="宋体"/>
                <w:color w:val="auto"/>
                <w:sz w:val="20"/>
              </w:rPr>
            </w:pPr>
            <w:r>
              <w:rPr>
                <w:rFonts w:hint="eastAsia" w:ascii="宋体" w:hAnsi="宋体" w:eastAsia="宋体" w:cs="宋体"/>
                <w:color w:val="auto"/>
                <w:kern w:val="0"/>
                <w:sz w:val="20"/>
                <w:szCs w:val="20"/>
              </w:rPr>
              <w:t xml:space="preserve"> （2025年度）                                </w:t>
            </w:r>
          </w:p>
        </w:tc>
      </w:tr>
      <w:tr w14:paraId="12C339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jc w:val="center"/>
        </w:trPr>
        <w:tc>
          <w:tcPr>
            <w:tcW w:w="1443" w:type="dxa"/>
            <w:gridSpan w:val="3"/>
            <w:tcBorders>
              <w:tl2br w:val="nil"/>
              <w:tr2bl w:val="nil"/>
            </w:tcBorders>
            <w:vAlign w:val="center"/>
          </w:tcPr>
          <w:p w14:paraId="73E6A211">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ascii="宋体" w:cs="宋体"/>
                <w:color w:val="auto"/>
                <w:kern w:val="0"/>
                <w:sz w:val="20"/>
                <w:szCs w:val="20"/>
              </w:rPr>
            </w:pPr>
            <w:r>
              <w:rPr>
                <w:rFonts w:hint="eastAsia" w:ascii="宋体" w:hAnsi="宋体" w:eastAsia="宋体" w:cs="宋体"/>
                <w:color w:val="auto"/>
                <w:kern w:val="0"/>
                <w:sz w:val="20"/>
                <w:szCs w:val="20"/>
              </w:rPr>
              <w:t>项目名称</w:t>
            </w:r>
          </w:p>
        </w:tc>
        <w:tc>
          <w:tcPr>
            <w:tcW w:w="7577" w:type="dxa"/>
            <w:gridSpan w:val="4"/>
            <w:tcBorders>
              <w:tl2br w:val="nil"/>
              <w:tr2bl w:val="nil"/>
            </w:tcBorders>
            <w:vAlign w:val="center"/>
          </w:tcPr>
          <w:p w14:paraId="7F911574">
            <w:pPr>
              <w:keepNext w:val="0"/>
              <w:keepLines w:val="0"/>
              <w:pageBreakBefore w:val="0"/>
              <w:kinsoku/>
              <w:wordWrap/>
              <w:overflowPunct/>
              <w:topLinePunct w:val="0"/>
              <w:autoSpaceDE/>
              <w:autoSpaceDN/>
              <w:bidi w:val="0"/>
              <w:adjustRightInd/>
              <w:snapToGrid/>
              <w:spacing w:line="240" w:lineRule="auto"/>
              <w:jc w:val="center"/>
              <w:rPr>
                <w:rFonts w:ascii="宋体" w:cs="宋体"/>
                <w:color w:val="auto"/>
                <w:kern w:val="0"/>
                <w:sz w:val="20"/>
                <w:szCs w:val="20"/>
              </w:rPr>
            </w:pPr>
            <w:r>
              <w:rPr>
                <w:rFonts w:hint="eastAsia" w:ascii="宋体" w:cs="宋体"/>
                <w:color w:val="auto"/>
                <w:kern w:val="0"/>
                <w:sz w:val="20"/>
                <w:szCs w:val="20"/>
              </w:rPr>
              <w:t>非免疫规划疫苗储存运输等费用</w:t>
            </w:r>
          </w:p>
        </w:tc>
      </w:tr>
      <w:tr w14:paraId="1FBD53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1" w:hRule="atLeast"/>
          <w:jc w:val="center"/>
        </w:trPr>
        <w:tc>
          <w:tcPr>
            <w:tcW w:w="1443" w:type="dxa"/>
            <w:gridSpan w:val="3"/>
            <w:tcBorders>
              <w:tl2br w:val="nil"/>
              <w:tr2bl w:val="nil"/>
            </w:tcBorders>
            <w:vAlign w:val="center"/>
          </w:tcPr>
          <w:p w14:paraId="1DD78001">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ascii="宋体" w:cs="宋体"/>
                <w:color w:val="auto"/>
                <w:kern w:val="0"/>
                <w:sz w:val="20"/>
                <w:szCs w:val="20"/>
              </w:rPr>
            </w:pPr>
            <w:r>
              <w:rPr>
                <w:rFonts w:hint="eastAsia" w:ascii="宋体" w:hAnsi="宋体" w:eastAsia="宋体" w:cs="宋体"/>
                <w:color w:val="auto"/>
                <w:kern w:val="0"/>
                <w:sz w:val="20"/>
                <w:szCs w:val="20"/>
              </w:rPr>
              <w:t>主管部门   及代码</w:t>
            </w:r>
          </w:p>
        </w:tc>
        <w:tc>
          <w:tcPr>
            <w:tcW w:w="3647" w:type="dxa"/>
            <w:gridSpan w:val="2"/>
            <w:tcBorders>
              <w:tl2br w:val="nil"/>
              <w:tr2bl w:val="nil"/>
            </w:tcBorders>
            <w:vAlign w:val="center"/>
          </w:tcPr>
          <w:p w14:paraId="4EFEF8BE">
            <w:pPr>
              <w:keepNext w:val="0"/>
              <w:keepLines w:val="0"/>
              <w:pageBreakBefore w:val="0"/>
              <w:kinsoku/>
              <w:wordWrap/>
              <w:overflowPunct/>
              <w:topLinePunct w:val="0"/>
              <w:autoSpaceDE/>
              <w:autoSpaceDN/>
              <w:bidi w:val="0"/>
              <w:adjustRightInd/>
              <w:snapToGrid/>
              <w:spacing w:line="240" w:lineRule="auto"/>
              <w:jc w:val="center"/>
              <w:rPr>
                <w:rFonts w:ascii="宋体" w:cs="宋体"/>
                <w:color w:val="auto"/>
                <w:kern w:val="0"/>
                <w:sz w:val="20"/>
                <w:szCs w:val="20"/>
              </w:rPr>
            </w:pPr>
            <w:r>
              <w:rPr>
                <w:rFonts w:hint="eastAsia" w:ascii="宋体" w:hAnsi="宋体" w:eastAsia="宋体" w:cs="宋体"/>
                <w:color w:val="auto"/>
                <w:kern w:val="0"/>
                <w:sz w:val="20"/>
                <w:szCs w:val="20"/>
              </w:rPr>
              <w:t>[076]淮北市卫生健康委员会</w:t>
            </w:r>
          </w:p>
        </w:tc>
        <w:tc>
          <w:tcPr>
            <w:tcW w:w="1550" w:type="dxa"/>
            <w:tcBorders>
              <w:tl2br w:val="nil"/>
              <w:tr2bl w:val="nil"/>
            </w:tcBorders>
            <w:vAlign w:val="center"/>
          </w:tcPr>
          <w:p w14:paraId="0CAC8B71">
            <w:pPr>
              <w:keepNext w:val="0"/>
              <w:keepLines w:val="0"/>
              <w:pageBreakBefore w:val="0"/>
              <w:widowControl/>
              <w:kinsoku/>
              <w:wordWrap/>
              <w:overflowPunct/>
              <w:topLinePunct w:val="0"/>
              <w:autoSpaceDE/>
              <w:autoSpaceDN/>
              <w:bidi w:val="0"/>
              <w:adjustRightInd/>
              <w:snapToGrid/>
              <w:spacing w:line="240" w:lineRule="auto"/>
              <w:jc w:val="center"/>
              <w:textAlignment w:val="center"/>
              <w:rPr>
                <w:color w:val="auto"/>
                <w:kern w:val="0"/>
                <w:sz w:val="20"/>
                <w:szCs w:val="20"/>
              </w:rPr>
            </w:pPr>
            <w:r>
              <w:rPr>
                <w:rFonts w:hint="eastAsia" w:ascii="宋体" w:hAnsi="宋体" w:eastAsia="宋体" w:cs="宋体"/>
                <w:color w:val="auto"/>
                <w:kern w:val="0"/>
                <w:sz w:val="20"/>
                <w:szCs w:val="20"/>
              </w:rPr>
              <w:t>实施单位</w:t>
            </w:r>
          </w:p>
        </w:tc>
        <w:tc>
          <w:tcPr>
            <w:tcW w:w="2380" w:type="dxa"/>
            <w:tcBorders>
              <w:tl2br w:val="nil"/>
              <w:tr2bl w:val="nil"/>
            </w:tcBorders>
            <w:shd w:val="clear" w:color="auto" w:fill="auto"/>
            <w:vAlign w:val="center"/>
          </w:tcPr>
          <w:p w14:paraId="1775B66E">
            <w:pPr>
              <w:keepNext w:val="0"/>
              <w:keepLines w:val="0"/>
              <w:pageBreakBefore w:val="0"/>
              <w:widowControl/>
              <w:kinsoku/>
              <w:wordWrap/>
              <w:overflowPunct/>
              <w:topLinePunct w:val="0"/>
              <w:autoSpaceDE/>
              <w:autoSpaceDN/>
              <w:bidi w:val="0"/>
              <w:adjustRightInd/>
              <w:snapToGrid/>
              <w:spacing w:line="240" w:lineRule="auto"/>
              <w:jc w:val="center"/>
              <w:rPr>
                <w:rFonts w:ascii="宋体" w:hAnsi="宋体" w:eastAsia="宋体" w:cs="宋体"/>
                <w:color w:val="auto"/>
                <w:kern w:val="0"/>
                <w:sz w:val="20"/>
                <w:szCs w:val="20"/>
                <w:lang w:val="en-US" w:eastAsia="zh-CN" w:bidi="ar-SA"/>
              </w:rPr>
            </w:pPr>
            <w:r>
              <w:rPr>
                <w:rFonts w:hint="eastAsia" w:ascii="宋体" w:hAnsi="宋体" w:eastAsia="宋体" w:cs="宋体"/>
                <w:color w:val="auto"/>
                <w:kern w:val="0"/>
                <w:sz w:val="20"/>
                <w:szCs w:val="20"/>
              </w:rPr>
              <w:t>淮北市疾病预防控制中心</w:t>
            </w:r>
          </w:p>
        </w:tc>
      </w:tr>
      <w:tr w14:paraId="1A4675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jc w:val="center"/>
        </w:trPr>
        <w:tc>
          <w:tcPr>
            <w:tcW w:w="1443" w:type="dxa"/>
            <w:gridSpan w:val="3"/>
            <w:tcBorders>
              <w:tl2br w:val="nil"/>
              <w:tr2bl w:val="nil"/>
            </w:tcBorders>
            <w:vAlign w:val="center"/>
          </w:tcPr>
          <w:p w14:paraId="538E0F17">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ascii="宋体" w:cs="宋体"/>
                <w:color w:val="auto"/>
                <w:kern w:val="0"/>
                <w:sz w:val="20"/>
                <w:szCs w:val="20"/>
              </w:rPr>
            </w:pPr>
            <w:r>
              <w:rPr>
                <w:rFonts w:hint="eastAsia" w:ascii="宋体" w:hAnsi="宋体" w:eastAsia="宋体" w:cs="宋体"/>
                <w:color w:val="auto"/>
                <w:kern w:val="0"/>
                <w:sz w:val="20"/>
                <w:szCs w:val="20"/>
              </w:rPr>
              <w:t>项目来源</w:t>
            </w:r>
          </w:p>
        </w:tc>
        <w:tc>
          <w:tcPr>
            <w:tcW w:w="3647" w:type="dxa"/>
            <w:gridSpan w:val="2"/>
            <w:tcBorders>
              <w:tl2br w:val="nil"/>
              <w:tr2bl w:val="nil"/>
            </w:tcBorders>
            <w:vAlign w:val="center"/>
          </w:tcPr>
          <w:p w14:paraId="6AF52865">
            <w:pPr>
              <w:keepNext w:val="0"/>
              <w:keepLines w:val="0"/>
              <w:pageBreakBefore w:val="0"/>
              <w:kinsoku/>
              <w:wordWrap/>
              <w:overflowPunct/>
              <w:topLinePunct w:val="0"/>
              <w:autoSpaceDE/>
              <w:autoSpaceDN/>
              <w:bidi w:val="0"/>
              <w:adjustRightInd/>
              <w:snapToGrid/>
              <w:spacing w:line="240" w:lineRule="auto"/>
              <w:jc w:val="center"/>
              <w:rPr>
                <w:rFonts w:ascii="宋体" w:cs="宋体"/>
                <w:color w:val="auto"/>
                <w:kern w:val="0"/>
                <w:sz w:val="20"/>
                <w:szCs w:val="20"/>
              </w:rPr>
            </w:pPr>
          </w:p>
        </w:tc>
        <w:tc>
          <w:tcPr>
            <w:tcW w:w="1550" w:type="dxa"/>
            <w:tcBorders>
              <w:tl2br w:val="nil"/>
              <w:tr2bl w:val="nil"/>
            </w:tcBorders>
            <w:vAlign w:val="center"/>
          </w:tcPr>
          <w:p w14:paraId="457B9CA5">
            <w:pPr>
              <w:keepNext w:val="0"/>
              <w:keepLines w:val="0"/>
              <w:pageBreakBefore w:val="0"/>
              <w:widowControl/>
              <w:kinsoku/>
              <w:wordWrap/>
              <w:overflowPunct/>
              <w:topLinePunct w:val="0"/>
              <w:autoSpaceDE/>
              <w:autoSpaceDN/>
              <w:bidi w:val="0"/>
              <w:adjustRightInd/>
              <w:snapToGrid/>
              <w:spacing w:line="240" w:lineRule="auto"/>
              <w:jc w:val="center"/>
              <w:textAlignment w:val="center"/>
              <w:rPr>
                <w:color w:val="auto"/>
                <w:kern w:val="0"/>
                <w:sz w:val="20"/>
                <w:szCs w:val="20"/>
              </w:rPr>
            </w:pPr>
            <w:r>
              <w:rPr>
                <w:rFonts w:hint="eastAsia" w:ascii="宋体" w:hAnsi="宋体" w:eastAsia="宋体" w:cs="宋体"/>
                <w:color w:val="auto"/>
                <w:kern w:val="0"/>
                <w:sz w:val="20"/>
                <w:szCs w:val="20"/>
              </w:rPr>
              <w:t>项目期</w:t>
            </w:r>
          </w:p>
        </w:tc>
        <w:tc>
          <w:tcPr>
            <w:tcW w:w="2380" w:type="dxa"/>
            <w:tcBorders>
              <w:tl2br w:val="nil"/>
              <w:tr2bl w:val="nil"/>
            </w:tcBorders>
            <w:shd w:val="clear" w:color="auto" w:fill="auto"/>
            <w:vAlign w:val="center"/>
          </w:tcPr>
          <w:p w14:paraId="6E196F25">
            <w:pPr>
              <w:keepNext w:val="0"/>
              <w:keepLines w:val="0"/>
              <w:pageBreakBefore w:val="0"/>
              <w:widowControl/>
              <w:kinsoku/>
              <w:wordWrap/>
              <w:overflowPunct/>
              <w:topLinePunct w:val="0"/>
              <w:autoSpaceDE/>
              <w:autoSpaceDN/>
              <w:bidi w:val="0"/>
              <w:adjustRightInd/>
              <w:snapToGrid/>
              <w:spacing w:line="240" w:lineRule="auto"/>
              <w:jc w:val="center"/>
              <w:rPr>
                <w:rFonts w:ascii="宋体" w:hAnsi="宋体" w:eastAsia="宋体" w:cs="宋体"/>
                <w:color w:val="auto"/>
                <w:kern w:val="0"/>
                <w:sz w:val="20"/>
                <w:szCs w:val="20"/>
                <w:lang w:val="en-US" w:eastAsia="zh-CN" w:bidi="ar-SA"/>
              </w:rPr>
            </w:pPr>
            <w:r>
              <w:rPr>
                <w:rFonts w:hint="eastAsia" w:ascii="宋体" w:hAnsi="宋体" w:eastAsia="宋体" w:cs="宋体"/>
                <w:color w:val="auto"/>
                <w:kern w:val="0"/>
                <w:sz w:val="20"/>
                <w:szCs w:val="20"/>
              </w:rPr>
              <w:t>1年</w:t>
            </w:r>
          </w:p>
        </w:tc>
      </w:tr>
      <w:tr w14:paraId="73ABB0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jc w:val="center"/>
        </w:trPr>
        <w:tc>
          <w:tcPr>
            <w:tcW w:w="1443" w:type="dxa"/>
            <w:gridSpan w:val="3"/>
            <w:vMerge w:val="restart"/>
            <w:tcBorders>
              <w:tl2br w:val="nil"/>
              <w:tr2bl w:val="nil"/>
            </w:tcBorders>
            <w:vAlign w:val="center"/>
          </w:tcPr>
          <w:p w14:paraId="323E6245">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ascii="宋体" w:cs="宋体"/>
                <w:color w:val="auto"/>
                <w:kern w:val="0"/>
                <w:sz w:val="20"/>
                <w:szCs w:val="20"/>
              </w:rPr>
            </w:pPr>
            <w:r>
              <w:rPr>
                <w:rFonts w:hint="eastAsia" w:ascii="宋体" w:hAnsi="宋体" w:eastAsia="宋体" w:cs="宋体"/>
                <w:color w:val="auto"/>
                <w:kern w:val="0"/>
                <w:sz w:val="20"/>
                <w:szCs w:val="20"/>
              </w:rPr>
              <w:t>项目资金</w:t>
            </w:r>
            <w:r>
              <w:rPr>
                <w:rFonts w:hint="eastAsia" w:ascii="宋体" w:hAnsi="宋体" w:eastAsia="宋体" w:cs="宋体"/>
                <w:color w:val="auto"/>
                <w:kern w:val="0"/>
                <w:sz w:val="20"/>
                <w:szCs w:val="20"/>
              </w:rPr>
              <w:br w:type="textWrapping"/>
            </w:r>
            <w:r>
              <w:rPr>
                <w:rFonts w:hint="eastAsia" w:ascii="宋体" w:hAnsi="宋体" w:eastAsia="宋体" w:cs="宋体"/>
                <w:color w:val="auto"/>
                <w:kern w:val="0"/>
                <w:sz w:val="20"/>
                <w:szCs w:val="20"/>
              </w:rPr>
              <w:t>（万元）</w:t>
            </w:r>
          </w:p>
        </w:tc>
        <w:tc>
          <w:tcPr>
            <w:tcW w:w="3647" w:type="dxa"/>
            <w:gridSpan w:val="2"/>
            <w:tcBorders>
              <w:tl2br w:val="nil"/>
              <w:tr2bl w:val="nil"/>
            </w:tcBorders>
            <w:vAlign w:val="center"/>
          </w:tcPr>
          <w:p w14:paraId="246A3F6E">
            <w:pPr>
              <w:keepNext w:val="0"/>
              <w:keepLines w:val="0"/>
              <w:pageBreakBefore w:val="0"/>
              <w:widowControl/>
              <w:kinsoku/>
              <w:wordWrap/>
              <w:overflowPunct/>
              <w:topLinePunct w:val="0"/>
              <w:autoSpaceDE/>
              <w:autoSpaceDN/>
              <w:bidi w:val="0"/>
              <w:adjustRightInd/>
              <w:snapToGrid/>
              <w:spacing w:line="240" w:lineRule="auto"/>
              <w:jc w:val="left"/>
              <w:textAlignment w:val="center"/>
              <w:rPr>
                <w:rFonts w:ascii="宋体" w:cs="宋体"/>
                <w:color w:val="auto"/>
                <w:kern w:val="0"/>
                <w:sz w:val="20"/>
                <w:szCs w:val="20"/>
              </w:rPr>
            </w:pPr>
            <w:r>
              <w:rPr>
                <w:rFonts w:hint="eastAsia" w:ascii="宋体" w:hAnsi="宋体" w:eastAsia="宋体" w:cs="宋体"/>
                <w:color w:val="auto"/>
                <w:kern w:val="0"/>
                <w:sz w:val="20"/>
                <w:szCs w:val="20"/>
              </w:rPr>
              <w:t xml:space="preserve"> 年度资金总额：</w:t>
            </w:r>
          </w:p>
        </w:tc>
        <w:tc>
          <w:tcPr>
            <w:tcW w:w="3930" w:type="dxa"/>
            <w:gridSpan w:val="2"/>
            <w:tcBorders>
              <w:tl2br w:val="nil"/>
              <w:tr2bl w:val="nil"/>
            </w:tcBorders>
            <w:shd w:val="clear" w:color="auto" w:fill="auto"/>
            <w:vAlign w:val="center"/>
          </w:tcPr>
          <w:p w14:paraId="3CF08E50">
            <w:pPr>
              <w:keepNext w:val="0"/>
              <w:keepLines w:val="0"/>
              <w:pageBreakBefore w:val="0"/>
              <w:widowControl/>
              <w:kinsoku/>
              <w:wordWrap/>
              <w:overflowPunct/>
              <w:topLinePunct w:val="0"/>
              <w:autoSpaceDE/>
              <w:autoSpaceDN/>
              <w:bidi w:val="0"/>
              <w:adjustRightInd/>
              <w:snapToGrid/>
              <w:spacing w:line="240" w:lineRule="auto"/>
              <w:jc w:val="right"/>
              <w:rPr>
                <w:rFonts w:hint="default" w:ascii="宋体" w:hAnsi="宋体" w:eastAsia="宋体" w:cs="宋体"/>
                <w:color w:val="auto"/>
                <w:kern w:val="0"/>
                <w:sz w:val="20"/>
                <w:szCs w:val="20"/>
                <w:lang w:val="en-US" w:eastAsia="zh-CN" w:bidi="ar-SA"/>
              </w:rPr>
            </w:pPr>
            <w:r>
              <w:rPr>
                <w:rFonts w:hint="eastAsia" w:ascii="宋体" w:hAnsi="宋体" w:eastAsia="宋体" w:cs="宋体"/>
                <w:color w:val="auto"/>
                <w:kern w:val="0"/>
                <w:sz w:val="20"/>
                <w:szCs w:val="20"/>
                <w:lang w:val="en-US" w:eastAsia="zh-CN" w:bidi="ar-SA"/>
              </w:rPr>
              <w:t>57.40</w:t>
            </w:r>
          </w:p>
        </w:tc>
      </w:tr>
      <w:tr w14:paraId="4C2339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jc w:val="center"/>
        </w:trPr>
        <w:tc>
          <w:tcPr>
            <w:tcW w:w="1443" w:type="dxa"/>
            <w:gridSpan w:val="3"/>
            <w:vMerge w:val="continue"/>
            <w:tcBorders>
              <w:tl2br w:val="nil"/>
              <w:tr2bl w:val="nil"/>
            </w:tcBorders>
            <w:vAlign w:val="center"/>
          </w:tcPr>
          <w:p w14:paraId="5ED4ED5C">
            <w:pPr>
              <w:keepNext w:val="0"/>
              <w:keepLines w:val="0"/>
              <w:pageBreakBefore w:val="0"/>
              <w:kinsoku/>
              <w:wordWrap/>
              <w:overflowPunct/>
              <w:topLinePunct w:val="0"/>
              <w:autoSpaceDE/>
              <w:autoSpaceDN/>
              <w:bidi w:val="0"/>
              <w:adjustRightInd/>
              <w:snapToGrid/>
              <w:spacing w:line="240" w:lineRule="auto"/>
              <w:jc w:val="center"/>
              <w:rPr>
                <w:rFonts w:ascii="宋体" w:cs="宋体"/>
                <w:color w:val="auto"/>
                <w:kern w:val="0"/>
                <w:sz w:val="20"/>
                <w:szCs w:val="20"/>
              </w:rPr>
            </w:pPr>
          </w:p>
        </w:tc>
        <w:tc>
          <w:tcPr>
            <w:tcW w:w="3647" w:type="dxa"/>
            <w:gridSpan w:val="2"/>
            <w:tcBorders>
              <w:tl2br w:val="nil"/>
              <w:tr2bl w:val="nil"/>
            </w:tcBorders>
            <w:vAlign w:val="center"/>
          </w:tcPr>
          <w:p w14:paraId="79EF1CB0">
            <w:pPr>
              <w:keepNext w:val="0"/>
              <w:keepLines w:val="0"/>
              <w:pageBreakBefore w:val="0"/>
              <w:widowControl/>
              <w:kinsoku/>
              <w:wordWrap/>
              <w:overflowPunct/>
              <w:topLinePunct w:val="0"/>
              <w:autoSpaceDE/>
              <w:autoSpaceDN/>
              <w:bidi w:val="0"/>
              <w:adjustRightInd/>
              <w:snapToGrid/>
              <w:spacing w:line="240" w:lineRule="auto"/>
              <w:jc w:val="left"/>
              <w:textAlignment w:val="center"/>
              <w:rPr>
                <w:rFonts w:ascii="宋体" w:cs="宋体"/>
                <w:color w:val="auto"/>
                <w:kern w:val="0"/>
                <w:sz w:val="20"/>
                <w:szCs w:val="20"/>
              </w:rPr>
            </w:pPr>
            <w:r>
              <w:rPr>
                <w:rFonts w:hint="eastAsia" w:ascii="宋体" w:hAnsi="宋体" w:eastAsia="宋体" w:cs="宋体"/>
                <w:color w:val="auto"/>
                <w:kern w:val="0"/>
                <w:sz w:val="20"/>
                <w:szCs w:val="20"/>
              </w:rPr>
              <w:t xml:space="preserve">   其中：财政拨款</w:t>
            </w:r>
          </w:p>
        </w:tc>
        <w:tc>
          <w:tcPr>
            <w:tcW w:w="3930" w:type="dxa"/>
            <w:gridSpan w:val="2"/>
            <w:tcBorders>
              <w:tl2br w:val="nil"/>
              <w:tr2bl w:val="nil"/>
            </w:tcBorders>
            <w:shd w:val="clear" w:color="auto" w:fill="auto"/>
            <w:vAlign w:val="center"/>
          </w:tcPr>
          <w:p w14:paraId="5F685DB7">
            <w:pPr>
              <w:keepNext w:val="0"/>
              <w:keepLines w:val="0"/>
              <w:pageBreakBefore w:val="0"/>
              <w:widowControl/>
              <w:kinsoku/>
              <w:wordWrap/>
              <w:overflowPunct/>
              <w:topLinePunct w:val="0"/>
              <w:autoSpaceDE/>
              <w:autoSpaceDN/>
              <w:bidi w:val="0"/>
              <w:adjustRightInd/>
              <w:snapToGrid/>
              <w:spacing w:line="240" w:lineRule="auto"/>
              <w:jc w:val="right"/>
              <w:rPr>
                <w:rFonts w:hint="default" w:ascii="宋体" w:hAnsi="宋体" w:eastAsia="宋体" w:cs="宋体"/>
                <w:color w:val="auto"/>
                <w:kern w:val="0"/>
                <w:sz w:val="20"/>
                <w:szCs w:val="20"/>
                <w:lang w:val="en-US" w:eastAsia="zh-CN" w:bidi="ar-SA"/>
              </w:rPr>
            </w:pPr>
            <w:r>
              <w:rPr>
                <w:rFonts w:hint="eastAsia" w:ascii="宋体" w:hAnsi="宋体" w:eastAsia="宋体" w:cs="宋体"/>
                <w:color w:val="auto"/>
                <w:kern w:val="0"/>
                <w:sz w:val="20"/>
                <w:szCs w:val="20"/>
                <w:lang w:val="en-US" w:eastAsia="zh-CN" w:bidi="ar-SA"/>
              </w:rPr>
              <w:t>57.40</w:t>
            </w:r>
          </w:p>
        </w:tc>
      </w:tr>
      <w:tr w14:paraId="5565F4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jc w:val="center"/>
        </w:trPr>
        <w:tc>
          <w:tcPr>
            <w:tcW w:w="1443" w:type="dxa"/>
            <w:gridSpan w:val="3"/>
            <w:vMerge w:val="continue"/>
            <w:tcBorders>
              <w:tl2br w:val="nil"/>
              <w:tr2bl w:val="nil"/>
            </w:tcBorders>
            <w:vAlign w:val="center"/>
          </w:tcPr>
          <w:p w14:paraId="1BD83D62">
            <w:pPr>
              <w:keepNext w:val="0"/>
              <w:keepLines w:val="0"/>
              <w:pageBreakBefore w:val="0"/>
              <w:kinsoku/>
              <w:wordWrap/>
              <w:overflowPunct/>
              <w:topLinePunct w:val="0"/>
              <w:autoSpaceDE/>
              <w:autoSpaceDN/>
              <w:bidi w:val="0"/>
              <w:adjustRightInd/>
              <w:snapToGrid/>
              <w:spacing w:line="240" w:lineRule="auto"/>
              <w:jc w:val="center"/>
              <w:rPr>
                <w:rFonts w:ascii="宋体" w:cs="宋体"/>
                <w:color w:val="auto"/>
                <w:kern w:val="0"/>
                <w:sz w:val="20"/>
                <w:szCs w:val="20"/>
              </w:rPr>
            </w:pPr>
          </w:p>
        </w:tc>
        <w:tc>
          <w:tcPr>
            <w:tcW w:w="3647" w:type="dxa"/>
            <w:gridSpan w:val="2"/>
            <w:tcBorders>
              <w:tl2br w:val="nil"/>
              <w:tr2bl w:val="nil"/>
            </w:tcBorders>
            <w:vAlign w:val="center"/>
          </w:tcPr>
          <w:p w14:paraId="028EB7C9">
            <w:pPr>
              <w:keepNext w:val="0"/>
              <w:keepLines w:val="0"/>
              <w:pageBreakBefore w:val="0"/>
              <w:widowControl/>
              <w:kinsoku/>
              <w:wordWrap/>
              <w:overflowPunct/>
              <w:topLinePunct w:val="0"/>
              <w:autoSpaceDE/>
              <w:autoSpaceDN/>
              <w:bidi w:val="0"/>
              <w:adjustRightInd/>
              <w:snapToGrid/>
              <w:spacing w:line="240" w:lineRule="auto"/>
              <w:jc w:val="left"/>
              <w:textAlignment w:val="center"/>
              <w:rPr>
                <w:rFonts w:ascii="宋体" w:cs="宋体"/>
                <w:color w:val="auto"/>
                <w:kern w:val="0"/>
                <w:sz w:val="20"/>
                <w:szCs w:val="20"/>
              </w:rPr>
            </w:pPr>
            <w:r>
              <w:rPr>
                <w:rFonts w:hint="eastAsia" w:ascii="宋体" w:hAnsi="宋体" w:eastAsia="宋体" w:cs="宋体"/>
                <w:color w:val="auto"/>
                <w:kern w:val="0"/>
                <w:sz w:val="20"/>
                <w:szCs w:val="20"/>
              </w:rPr>
              <w:t xml:space="preserve">         上年结转</w:t>
            </w:r>
          </w:p>
        </w:tc>
        <w:tc>
          <w:tcPr>
            <w:tcW w:w="3930" w:type="dxa"/>
            <w:gridSpan w:val="2"/>
            <w:tcBorders>
              <w:tl2br w:val="nil"/>
              <w:tr2bl w:val="nil"/>
            </w:tcBorders>
            <w:shd w:val="clear" w:color="auto" w:fill="auto"/>
            <w:vAlign w:val="center"/>
          </w:tcPr>
          <w:p w14:paraId="6B0519D4">
            <w:pPr>
              <w:keepNext w:val="0"/>
              <w:keepLines w:val="0"/>
              <w:pageBreakBefore w:val="0"/>
              <w:widowControl/>
              <w:kinsoku/>
              <w:wordWrap/>
              <w:overflowPunct/>
              <w:topLinePunct w:val="0"/>
              <w:autoSpaceDE/>
              <w:autoSpaceDN/>
              <w:bidi w:val="0"/>
              <w:adjustRightInd/>
              <w:snapToGrid/>
              <w:spacing w:line="240" w:lineRule="auto"/>
              <w:jc w:val="right"/>
              <w:rPr>
                <w:rFonts w:ascii="宋体" w:hAnsi="宋体" w:eastAsia="宋体" w:cs="宋体"/>
                <w:color w:val="auto"/>
                <w:kern w:val="0"/>
                <w:sz w:val="20"/>
                <w:szCs w:val="20"/>
                <w:lang w:val="en-US" w:eastAsia="zh-CN" w:bidi="ar-SA"/>
              </w:rPr>
            </w:pPr>
            <w:r>
              <w:rPr>
                <w:rFonts w:hint="eastAsia" w:ascii="宋体" w:hAnsi="宋体" w:eastAsia="宋体" w:cs="宋体"/>
                <w:color w:val="auto"/>
                <w:kern w:val="0"/>
                <w:sz w:val="20"/>
                <w:szCs w:val="20"/>
              </w:rPr>
              <w:t xml:space="preserve">      0.00 </w:t>
            </w:r>
          </w:p>
        </w:tc>
      </w:tr>
      <w:tr w14:paraId="121AE9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jc w:val="center"/>
        </w:trPr>
        <w:tc>
          <w:tcPr>
            <w:tcW w:w="1443" w:type="dxa"/>
            <w:gridSpan w:val="3"/>
            <w:vMerge w:val="continue"/>
            <w:tcBorders>
              <w:tl2br w:val="nil"/>
              <w:tr2bl w:val="nil"/>
            </w:tcBorders>
            <w:vAlign w:val="center"/>
          </w:tcPr>
          <w:p w14:paraId="2A3697B2">
            <w:pPr>
              <w:keepNext w:val="0"/>
              <w:keepLines w:val="0"/>
              <w:pageBreakBefore w:val="0"/>
              <w:kinsoku/>
              <w:wordWrap/>
              <w:overflowPunct/>
              <w:topLinePunct w:val="0"/>
              <w:autoSpaceDE/>
              <w:autoSpaceDN/>
              <w:bidi w:val="0"/>
              <w:adjustRightInd/>
              <w:snapToGrid/>
              <w:spacing w:line="240" w:lineRule="auto"/>
              <w:jc w:val="center"/>
              <w:rPr>
                <w:rFonts w:ascii="宋体" w:cs="宋体"/>
                <w:color w:val="auto"/>
                <w:kern w:val="0"/>
                <w:sz w:val="20"/>
                <w:szCs w:val="20"/>
              </w:rPr>
            </w:pPr>
          </w:p>
        </w:tc>
        <w:tc>
          <w:tcPr>
            <w:tcW w:w="3647" w:type="dxa"/>
            <w:gridSpan w:val="2"/>
            <w:tcBorders>
              <w:tl2br w:val="nil"/>
              <w:tr2bl w:val="nil"/>
            </w:tcBorders>
            <w:vAlign w:val="center"/>
          </w:tcPr>
          <w:p w14:paraId="5FEC149E">
            <w:pPr>
              <w:keepNext w:val="0"/>
              <w:keepLines w:val="0"/>
              <w:pageBreakBefore w:val="0"/>
              <w:widowControl/>
              <w:kinsoku/>
              <w:wordWrap/>
              <w:overflowPunct/>
              <w:topLinePunct w:val="0"/>
              <w:autoSpaceDE/>
              <w:autoSpaceDN/>
              <w:bidi w:val="0"/>
              <w:adjustRightInd/>
              <w:snapToGrid/>
              <w:spacing w:line="240" w:lineRule="auto"/>
              <w:jc w:val="left"/>
              <w:textAlignment w:val="center"/>
              <w:rPr>
                <w:rFonts w:ascii="宋体" w:cs="宋体"/>
                <w:color w:val="auto"/>
                <w:kern w:val="0"/>
                <w:sz w:val="20"/>
                <w:szCs w:val="20"/>
              </w:rPr>
            </w:pPr>
            <w:r>
              <w:rPr>
                <w:rFonts w:hint="eastAsia" w:ascii="宋体" w:hAnsi="宋体" w:eastAsia="宋体" w:cs="宋体"/>
                <w:color w:val="auto"/>
                <w:kern w:val="0"/>
                <w:sz w:val="20"/>
                <w:szCs w:val="20"/>
              </w:rPr>
              <w:t xml:space="preserve">         其他资金</w:t>
            </w:r>
          </w:p>
        </w:tc>
        <w:tc>
          <w:tcPr>
            <w:tcW w:w="3930" w:type="dxa"/>
            <w:gridSpan w:val="2"/>
            <w:tcBorders>
              <w:tl2br w:val="nil"/>
              <w:tr2bl w:val="nil"/>
            </w:tcBorders>
            <w:vAlign w:val="center"/>
          </w:tcPr>
          <w:p w14:paraId="3DD9D96C">
            <w:pPr>
              <w:keepNext w:val="0"/>
              <w:keepLines w:val="0"/>
              <w:pageBreakBefore w:val="0"/>
              <w:kinsoku/>
              <w:wordWrap/>
              <w:overflowPunct/>
              <w:topLinePunct w:val="0"/>
              <w:autoSpaceDE/>
              <w:autoSpaceDN/>
              <w:bidi w:val="0"/>
              <w:adjustRightInd/>
              <w:snapToGrid/>
              <w:spacing w:line="240" w:lineRule="auto"/>
              <w:jc w:val="right"/>
              <w:rPr>
                <w:rFonts w:hint="default" w:ascii="宋体" w:cs="宋体" w:eastAsiaTheme="minorEastAsia"/>
                <w:color w:val="auto"/>
                <w:kern w:val="0"/>
                <w:sz w:val="20"/>
                <w:szCs w:val="20"/>
                <w:lang w:val="en-US" w:eastAsia="zh-CN"/>
              </w:rPr>
            </w:pPr>
            <w:r>
              <w:rPr>
                <w:rFonts w:hint="eastAsia" w:ascii="宋体" w:hAnsi="宋体" w:eastAsia="宋体" w:cs="宋体"/>
                <w:color w:val="auto"/>
                <w:kern w:val="0"/>
                <w:sz w:val="20"/>
                <w:szCs w:val="20"/>
              </w:rPr>
              <w:t>0.00</w:t>
            </w:r>
          </w:p>
        </w:tc>
      </w:tr>
      <w:tr w14:paraId="45272B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5" w:hRule="atLeast"/>
          <w:jc w:val="center"/>
        </w:trPr>
        <w:tc>
          <w:tcPr>
            <w:tcW w:w="438" w:type="dxa"/>
            <w:tcBorders>
              <w:tl2br w:val="nil"/>
              <w:tr2bl w:val="nil"/>
            </w:tcBorders>
            <w:vAlign w:val="center"/>
          </w:tcPr>
          <w:p w14:paraId="3A2B7361">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ascii="宋体" w:cs="宋体"/>
                <w:color w:val="auto"/>
                <w:kern w:val="0"/>
                <w:sz w:val="20"/>
                <w:szCs w:val="20"/>
              </w:rPr>
            </w:pPr>
            <w:r>
              <w:rPr>
                <w:rFonts w:hint="eastAsia" w:ascii="宋体" w:hAnsi="宋体" w:eastAsia="宋体" w:cs="宋体"/>
                <w:color w:val="auto"/>
                <w:kern w:val="0"/>
                <w:sz w:val="20"/>
                <w:szCs w:val="20"/>
              </w:rPr>
              <w:t>年度</w:t>
            </w:r>
            <w:r>
              <w:rPr>
                <w:rFonts w:hint="eastAsia" w:ascii="宋体" w:hAnsi="宋体" w:eastAsia="宋体" w:cs="宋体"/>
                <w:color w:val="auto"/>
                <w:kern w:val="0"/>
                <w:sz w:val="20"/>
                <w:szCs w:val="20"/>
              </w:rPr>
              <w:br w:type="textWrapping"/>
            </w:r>
            <w:r>
              <w:rPr>
                <w:rFonts w:hint="eastAsia" w:ascii="宋体" w:hAnsi="宋体" w:eastAsia="宋体" w:cs="宋体"/>
                <w:color w:val="auto"/>
                <w:kern w:val="0"/>
                <w:sz w:val="20"/>
                <w:szCs w:val="20"/>
              </w:rPr>
              <w:t>目标</w:t>
            </w:r>
          </w:p>
        </w:tc>
        <w:tc>
          <w:tcPr>
            <w:tcW w:w="8582" w:type="dxa"/>
            <w:gridSpan w:val="6"/>
            <w:tcBorders>
              <w:tl2br w:val="nil"/>
              <w:tr2bl w:val="nil"/>
            </w:tcBorders>
            <w:vAlign w:val="center"/>
          </w:tcPr>
          <w:p w14:paraId="05B3F741">
            <w:pPr>
              <w:keepNext w:val="0"/>
              <w:keepLines w:val="0"/>
              <w:pageBreakBefore w:val="0"/>
              <w:kinsoku/>
              <w:wordWrap/>
              <w:overflowPunct/>
              <w:topLinePunct w:val="0"/>
              <w:autoSpaceDE/>
              <w:autoSpaceDN/>
              <w:bidi w:val="0"/>
              <w:adjustRightInd/>
              <w:snapToGrid/>
              <w:spacing w:line="240" w:lineRule="auto"/>
              <w:jc w:val="left"/>
              <w:rPr>
                <w:rFonts w:ascii="宋体" w:cs="宋体"/>
                <w:color w:val="auto"/>
                <w:kern w:val="0"/>
                <w:sz w:val="20"/>
                <w:szCs w:val="20"/>
              </w:rPr>
            </w:pPr>
            <w:r>
              <w:rPr>
                <w:rFonts w:hint="eastAsia" w:ascii="宋体" w:cs="宋体"/>
                <w:color w:val="auto"/>
                <w:kern w:val="0"/>
                <w:sz w:val="20"/>
                <w:szCs w:val="20"/>
              </w:rPr>
              <w:t>满足社会不同人群对疫苗接种的不同需要，建立高水平的免疫屏障，降低疫苗针对性传染病的发病率。</w:t>
            </w:r>
          </w:p>
        </w:tc>
      </w:tr>
      <w:tr w14:paraId="73CD6B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8" w:hRule="atLeast"/>
          <w:jc w:val="center"/>
        </w:trPr>
        <w:tc>
          <w:tcPr>
            <w:tcW w:w="438" w:type="dxa"/>
            <w:vMerge w:val="restart"/>
            <w:tcBorders>
              <w:tl2br w:val="nil"/>
              <w:tr2bl w:val="nil"/>
            </w:tcBorders>
            <w:vAlign w:val="center"/>
          </w:tcPr>
          <w:p w14:paraId="38CE8ECD">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ascii="宋体" w:cs="宋体"/>
                <w:color w:val="auto"/>
                <w:kern w:val="0"/>
                <w:sz w:val="20"/>
                <w:szCs w:val="20"/>
              </w:rPr>
            </w:pPr>
            <w:r>
              <w:rPr>
                <w:rFonts w:hint="eastAsia" w:ascii="宋体" w:hAnsi="宋体" w:eastAsia="宋体" w:cs="宋体"/>
                <w:color w:val="auto"/>
                <w:kern w:val="0"/>
                <w:sz w:val="20"/>
                <w:szCs w:val="20"/>
              </w:rPr>
              <w:t>绩</w:t>
            </w:r>
            <w:r>
              <w:rPr>
                <w:rFonts w:hint="eastAsia" w:ascii="宋体" w:hAnsi="宋体" w:eastAsia="宋体" w:cs="宋体"/>
                <w:color w:val="auto"/>
                <w:kern w:val="0"/>
                <w:sz w:val="20"/>
                <w:szCs w:val="20"/>
              </w:rPr>
              <w:br w:type="textWrapping"/>
            </w:r>
            <w:r>
              <w:rPr>
                <w:rFonts w:hint="eastAsia" w:ascii="宋体" w:hAnsi="宋体" w:eastAsia="宋体" w:cs="宋体"/>
                <w:color w:val="auto"/>
                <w:kern w:val="0"/>
                <w:sz w:val="20"/>
                <w:szCs w:val="20"/>
              </w:rPr>
              <w:t>效</w:t>
            </w:r>
            <w:r>
              <w:rPr>
                <w:rFonts w:hint="eastAsia" w:ascii="宋体" w:hAnsi="宋体" w:eastAsia="宋体" w:cs="宋体"/>
                <w:color w:val="auto"/>
                <w:kern w:val="0"/>
                <w:sz w:val="20"/>
                <w:szCs w:val="20"/>
              </w:rPr>
              <w:br w:type="textWrapping"/>
            </w:r>
            <w:r>
              <w:rPr>
                <w:rFonts w:hint="eastAsia" w:ascii="宋体" w:hAnsi="宋体" w:eastAsia="宋体" w:cs="宋体"/>
                <w:color w:val="auto"/>
                <w:kern w:val="0"/>
                <w:sz w:val="20"/>
                <w:szCs w:val="20"/>
              </w:rPr>
              <w:t>指</w:t>
            </w:r>
            <w:r>
              <w:rPr>
                <w:rFonts w:hint="eastAsia" w:ascii="宋体" w:hAnsi="宋体" w:eastAsia="宋体" w:cs="宋体"/>
                <w:color w:val="auto"/>
                <w:kern w:val="0"/>
                <w:sz w:val="20"/>
                <w:szCs w:val="20"/>
              </w:rPr>
              <w:br w:type="textWrapping"/>
            </w:r>
            <w:r>
              <w:rPr>
                <w:rFonts w:hint="eastAsia" w:ascii="宋体" w:hAnsi="宋体" w:eastAsia="宋体" w:cs="宋体"/>
                <w:color w:val="auto"/>
                <w:kern w:val="0"/>
                <w:sz w:val="20"/>
                <w:szCs w:val="20"/>
              </w:rPr>
              <w:t>标</w:t>
            </w:r>
          </w:p>
        </w:tc>
        <w:tc>
          <w:tcPr>
            <w:tcW w:w="723" w:type="dxa"/>
            <w:tcBorders>
              <w:tl2br w:val="nil"/>
              <w:tr2bl w:val="nil"/>
            </w:tcBorders>
            <w:vAlign w:val="center"/>
          </w:tcPr>
          <w:p w14:paraId="004F22D2">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ascii="宋体" w:cs="宋体"/>
                <w:color w:val="auto"/>
                <w:kern w:val="0"/>
                <w:sz w:val="20"/>
                <w:szCs w:val="20"/>
              </w:rPr>
            </w:pPr>
            <w:r>
              <w:rPr>
                <w:rFonts w:hint="eastAsia" w:ascii="宋体" w:hAnsi="宋体" w:eastAsia="宋体" w:cs="宋体"/>
                <w:color w:val="auto"/>
                <w:kern w:val="0"/>
                <w:sz w:val="20"/>
                <w:szCs w:val="20"/>
              </w:rPr>
              <w:t>一级</w:t>
            </w:r>
            <w:r>
              <w:rPr>
                <w:rFonts w:hint="eastAsia" w:ascii="宋体" w:hAnsi="宋体" w:eastAsia="宋体" w:cs="宋体"/>
                <w:color w:val="auto"/>
                <w:kern w:val="0"/>
                <w:sz w:val="20"/>
                <w:szCs w:val="20"/>
              </w:rPr>
              <w:br w:type="textWrapping"/>
            </w:r>
            <w:r>
              <w:rPr>
                <w:rFonts w:hint="eastAsia" w:ascii="宋体" w:hAnsi="宋体" w:eastAsia="宋体" w:cs="宋体"/>
                <w:color w:val="auto"/>
                <w:kern w:val="0"/>
                <w:sz w:val="20"/>
                <w:szCs w:val="20"/>
              </w:rPr>
              <w:t>指标</w:t>
            </w:r>
          </w:p>
        </w:tc>
        <w:tc>
          <w:tcPr>
            <w:tcW w:w="929" w:type="dxa"/>
            <w:gridSpan w:val="2"/>
            <w:tcBorders>
              <w:tl2br w:val="nil"/>
              <w:tr2bl w:val="nil"/>
            </w:tcBorders>
            <w:vAlign w:val="center"/>
          </w:tcPr>
          <w:p w14:paraId="447BD864">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ascii="宋体" w:cs="宋体"/>
                <w:color w:val="auto"/>
                <w:kern w:val="0"/>
                <w:sz w:val="20"/>
                <w:szCs w:val="20"/>
              </w:rPr>
            </w:pPr>
            <w:r>
              <w:rPr>
                <w:rFonts w:hint="eastAsia" w:ascii="宋体" w:hAnsi="宋体" w:eastAsia="宋体" w:cs="宋体"/>
                <w:color w:val="auto"/>
                <w:kern w:val="0"/>
                <w:sz w:val="20"/>
                <w:szCs w:val="20"/>
              </w:rPr>
              <w:t>二级指标</w:t>
            </w:r>
          </w:p>
        </w:tc>
        <w:tc>
          <w:tcPr>
            <w:tcW w:w="3000" w:type="dxa"/>
            <w:tcBorders>
              <w:tl2br w:val="nil"/>
              <w:tr2bl w:val="nil"/>
            </w:tcBorders>
            <w:vAlign w:val="center"/>
          </w:tcPr>
          <w:p w14:paraId="588B6F86">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ascii="宋体" w:cs="宋体"/>
                <w:color w:val="auto"/>
                <w:kern w:val="0"/>
                <w:sz w:val="20"/>
                <w:szCs w:val="20"/>
              </w:rPr>
            </w:pPr>
            <w:r>
              <w:rPr>
                <w:rFonts w:hint="eastAsia" w:ascii="宋体" w:hAnsi="宋体" w:eastAsia="宋体" w:cs="宋体"/>
                <w:color w:val="auto"/>
                <w:kern w:val="0"/>
                <w:sz w:val="20"/>
                <w:szCs w:val="20"/>
              </w:rPr>
              <w:t>三级指标</w:t>
            </w:r>
          </w:p>
        </w:tc>
        <w:tc>
          <w:tcPr>
            <w:tcW w:w="3930" w:type="dxa"/>
            <w:gridSpan w:val="2"/>
            <w:tcBorders>
              <w:tl2br w:val="nil"/>
              <w:tr2bl w:val="nil"/>
            </w:tcBorders>
            <w:vAlign w:val="center"/>
          </w:tcPr>
          <w:p w14:paraId="2BFA29A8">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ascii="宋体" w:cs="宋体"/>
                <w:color w:val="auto"/>
                <w:kern w:val="0"/>
                <w:sz w:val="20"/>
                <w:szCs w:val="20"/>
              </w:rPr>
            </w:pPr>
            <w:r>
              <w:rPr>
                <w:rFonts w:hint="eastAsia" w:ascii="宋体" w:hAnsi="宋体" w:eastAsia="宋体" w:cs="宋体"/>
                <w:color w:val="auto"/>
                <w:kern w:val="0"/>
                <w:sz w:val="20"/>
                <w:szCs w:val="20"/>
              </w:rPr>
              <w:t>指标值</w:t>
            </w:r>
          </w:p>
        </w:tc>
      </w:tr>
      <w:tr w14:paraId="6F5A82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3" w:hRule="atLeast"/>
          <w:jc w:val="center"/>
        </w:trPr>
        <w:tc>
          <w:tcPr>
            <w:tcW w:w="438" w:type="dxa"/>
            <w:vMerge w:val="continue"/>
            <w:tcBorders>
              <w:tl2br w:val="nil"/>
              <w:tr2bl w:val="nil"/>
            </w:tcBorders>
            <w:vAlign w:val="center"/>
          </w:tcPr>
          <w:p w14:paraId="059D339D">
            <w:pPr>
              <w:keepNext w:val="0"/>
              <w:keepLines w:val="0"/>
              <w:pageBreakBefore w:val="0"/>
              <w:kinsoku/>
              <w:wordWrap/>
              <w:overflowPunct/>
              <w:topLinePunct w:val="0"/>
              <w:autoSpaceDE/>
              <w:autoSpaceDN/>
              <w:bidi w:val="0"/>
              <w:adjustRightInd/>
              <w:snapToGrid/>
              <w:spacing w:line="240" w:lineRule="auto"/>
              <w:jc w:val="center"/>
              <w:rPr>
                <w:rFonts w:ascii="宋体" w:cs="宋体"/>
                <w:color w:val="auto"/>
                <w:kern w:val="0"/>
                <w:sz w:val="20"/>
                <w:szCs w:val="20"/>
              </w:rPr>
            </w:pPr>
          </w:p>
        </w:tc>
        <w:tc>
          <w:tcPr>
            <w:tcW w:w="723" w:type="dxa"/>
            <w:vMerge w:val="restart"/>
            <w:tcBorders>
              <w:tl2br w:val="nil"/>
              <w:tr2bl w:val="nil"/>
            </w:tcBorders>
            <w:vAlign w:val="center"/>
          </w:tcPr>
          <w:p w14:paraId="0BA38672">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ascii="宋体" w:cs="宋体"/>
                <w:color w:val="auto"/>
                <w:kern w:val="0"/>
                <w:sz w:val="20"/>
                <w:szCs w:val="20"/>
              </w:rPr>
            </w:pPr>
            <w:r>
              <w:rPr>
                <w:rFonts w:hint="eastAsia" w:ascii="宋体" w:hAnsi="宋体" w:eastAsia="宋体" w:cs="宋体"/>
                <w:color w:val="auto"/>
                <w:kern w:val="0"/>
                <w:sz w:val="20"/>
                <w:szCs w:val="20"/>
              </w:rPr>
              <w:t>产出指标</w:t>
            </w:r>
          </w:p>
        </w:tc>
        <w:tc>
          <w:tcPr>
            <w:tcW w:w="929" w:type="dxa"/>
            <w:gridSpan w:val="2"/>
            <w:tcBorders>
              <w:tl2br w:val="nil"/>
              <w:tr2bl w:val="nil"/>
            </w:tcBorders>
            <w:vAlign w:val="center"/>
          </w:tcPr>
          <w:p w14:paraId="00E68D8B">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ascii="宋体" w:cs="宋体"/>
                <w:color w:val="auto"/>
                <w:kern w:val="0"/>
                <w:sz w:val="20"/>
                <w:szCs w:val="20"/>
              </w:rPr>
            </w:pPr>
            <w:r>
              <w:rPr>
                <w:rFonts w:hint="eastAsia" w:ascii="宋体" w:hAnsi="宋体" w:eastAsia="宋体" w:cs="宋体"/>
                <w:color w:val="auto"/>
                <w:kern w:val="0"/>
                <w:sz w:val="20"/>
                <w:szCs w:val="20"/>
              </w:rPr>
              <w:t>数量指标</w:t>
            </w:r>
          </w:p>
        </w:tc>
        <w:tc>
          <w:tcPr>
            <w:tcW w:w="3000" w:type="dxa"/>
            <w:tcBorders>
              <w:tl2br w:val="nil"/>
              <w:tr2bl w:val="nil"/>
            </w:tcBorders>
            <w:vAlign w:val="center"/>
          </w:tcPr>
          <w:p w14:paraId="79F3E0CA">
            <w:pPr>
              <w:keepNext w:val="0"/>
              <w:keepLines w:val="0"/>
              <w:widowControl/>
              <w:suppressLineNumbers w:val="0"/>
              <w:jc w:val="left"/>
              <w:textAlignment w:val="center"/>
              <w:rPr>
                <w:rFonts w:ascii="宋体" w:cs="宋体"/>
                <w:color w:val="auto"/>
                <w:kern w:val="0"/>
                <w:sz w:val="20"/>
                <w:szCs w:val="20"/>
              </w:rPr>
            </w:pPr>
            <w:r>
              <w:rPr>
                <w:rFonts w:hint="eastAsia" w:ascii="宋体" w:hAnsi="宋体" w:eastAsia="宋体" w:cs="宋体"/>
                <w:i w:val="0"/>
                <w:iCs w:val="0"/>
                <w:color w:val="auto"/>
                <w:kern w:val="0"/>
                <w:sz w:val="20"/>
                <w:szCs w:val="20"/>
                <w:u w:val="none"/>
                <w:lang w:val="en-US" w:eastAsia="zh-CN" w:bidi="ar"/>
              </w:rPr>
              <w:t>指标1：二类疫苗数量</w:t>
            </w:r>
          </w:p>
        </w:tc>
        <w:tc>
          <w:tcPr>
            <w:tcW w:w="3930" w:type="dxa"/>
            <w:gridSpan w:val="2"/>
            <w:tcBorders>
              <w:tl2br w:val="nil"/>
              <w:tr2bl w:val="nil"/>
            </w:tcBorders>
            <w:vAlign w:val="center"/>
          </w:tcPr>
          <w:p w14:paraId="3ECF63AE">
            <w:pPr>
              <w:keepNext w:val="0"/>
              <w:keepLines w:val="0"/>
              <w:widowControl/>
              <w:suppressLineNumbers w:val="0"/>
              <w:jc w:val="center"/>
              <w:textAlignment w:val="center"/>
              <w:rPr>
                <w:rFonts w:ascii="宋体" w:cs="宋体"/>
                <w:color w:val="auto"/>
                <w:kern w:val="0"/>
                <w:sz w:val="20"/>
                <w:szCs w:val="20"/>
              </w:rPr>
            </w:pPr>
            <w:r>
              <w:rPr>
                <w:rFonts w:hint="eastAsia" w:ascii="宋体" w:hAnsi="宋体" w:eastAsia="宋体" w:cs="宋体"/>
                <w:i w:val="0"/>
                <w:iCs w:val="0"/>
                <w:color w:val="auto"/>
                <w:kern w:val="0"/>
                <w:sz w:val="20"/>
                <w:szCs w:val="20"/>
                <w:u w:val="none"/>
                <w:lang w:val="en-US" w:eastAsia="zh-CN" w:bidi="ar"/>
              </w:rPr>
              <w:t>根据二类疫苗的市场需求，尽力采购</w:t>
            </w:r>
          </w:p>
        </w:tc>
      </w:tr>
      <w:tr w14:paraId="7C1FC7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3" w:hRule="atLeast"/>
          <w:jc w:val="center"/>
        </w:trPr>
        <w:tc>
          <w:tcPr>
            <w:tcW w:w="438" w:type="dxa"/>
            <w:vMerge w:val="continue"/>
            <w:tcBorders>
              <w:tl2br w:val="nil"/>
              <w:tr2bl w:val="nil"/>
            </w:tcBorders>
            <w:vAlign w:val="center"/>
          </w:tcPr>
          <w:p w14:paraId="5DB72E0B">
            <w:pPr>
              <w:keepNext w:val="0"/>
              <w:keepLines w:val="0"/>
              <w:pageBreakBefore w:val="0"/>
              <w:kinsoku/>
              <w:wordWrap/>
              <w:overflowPunct/>
              <w:topLinePunct w:val="0"/>
              <w:autoSpaceDE/>
              <w:autoSpaceDN/>
              <w:bidi w:val="0"/>
              <w:adjustRightInd/>
              <w:snapToGrid/>
              <w:spacing w:line="240" w:lineRule="auto"/>
              <w:jc w:val="center"/>
              <w:rPr>
                <w:rFonts w:ascii="宋体" w:cs="宋体"/>
                <w:color w:val="auto"/>
                <w:kern w:val="0"/>
                <w:sz w:val="20"/>
                <w:szCs w:val="20"/>
              </w:rPr>
            </w:pPr>
          </w:p>
        </w:tc>
        <w:tc>
          <w:tcPr>
            <w:tcW w:w="723" w:type="dxa"/>
            <w:vMerge w:val="continue"/>
            <w:tcBorders>
              <w:tl2br w:val="nil"/>
              <w:tr2bl w:val="nil"/>
            </w:tcBorders>
            <w:vAlign w:val="center"/>
          </w:tcPr>
          <w:p w14:paraId="47C1712C">
            <w:pPr>
              <w:keepNext w:val="0"/>
              <w:keepLines w:val="0"/>
              <w:pageBreakBefore w:val="0"/>
              <w:kinsoku/>
              <w:wordWrap/>
              <w:overflowPunct/>
              <w:topLinePunct w:val="0"/>
              <w:autoSpaceDE/>
              <w:autoSpaceDN/>
              <w:bidi w:val="0"/>
              <w:adjustRightInd/>
              <w:snapToGrid/>
              <w:spacing w:line="240" w:lineRule="auto"/>
              <w:jc w:val="center"/>
              <w:rPr>
                <w:rFonts w:ascii="宋体" w:cs="宋体"/>
                <w:color w:val="auto"/>
                <w:kern w:val="0"/>
                <w:sz w:val="20"/>
                <w:szCs w:val="20"/>
              </w:rPr>
            </w:pPr>
          </w:p>
        </w:tc>
        <w:tc>
          <w:tcPr>
            <w:tcW w:w="929" w:type="dxa"/>
            <w:gridSpan w:val="2"/>
            <w:tcBorders>
              <w:tl2br w:val="nil"/>
              <w:tr2bl w:val="nil"/>
            </w:tcBorders>
            <w:vAlign w:val="center"/>
          </w:tcPr>
          <w:p w14:paraId="034679D0">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ascii="宋体" w:cs="宋体"/>
                <w:color w:val="auto"/>
                <w:kern w:val="0"/>
                <w:sz w:val="20"/>
                <w:szCs w:val="20"/>
              </w:rPr>
            </w:pPr>
            <w:r>
              <w:rPr>
                <w:rFonts w:hint="eastAsia" w:ascii="宋体" w:hAnsi="宋体" w:eastAsia="宋体" w:cs="宋体"/>
                <w:color w:val="auto"/>
                <w:kern w:val="0"/>
                <w:sz w:val="20"/>
                <w:szCs w:val="20"/>
              </w:rPr>
              <w:t>质量指标</w:t>
            </w:r>
          </w:p>
        </w:tc>
        <w:tc>
          <w:tcPr>
            <w:tcW w:w="3000" w:type="dxa"/>
            <w:tcBorders>
              <w:tl2br w:val="nil"/>
              <w:tr2bl w:val="nil"/>
            </w:tcBorders>
            <w:vAlign w:val="center"/>
          </w:tcPr>
          <w:p w14:paraId="179A8E80">
            <w:pPr>
              <w:keepNext w:val="0"/>
              <w:keepLines w:val="0"/>
              <w:widowControl/>
              <w:suppressLineNumbers w:val="0"/>
              <w:jc w:val="left"/>
              <w:textAlignment w:val="center"/>
              <w:rPr>
                <w:rFonts w:ascii="宋体" w:cs="宋体"/>
                <w:color w:val="auto"/>
                <w:kern w:val="0"/>
                <w:sz w:val="20"/>
                <w:szCs w:val="20"/>
              </w:rPr>
            </w:pPr>
            <w:r>
              <w:rPr>
                <w:rFonts w:hint="eastAsia" w:ascii="宋体" w:hAnsi="宋体" w:eastAsia="宋体" w:cs="宋体"/>
                <w:i w:val="0"/>
                <w:iCs w:val="0"/>
                <w:color w:val="auto"/>
                <w:kern w:val="0"/>
                <w:sz w:val="20"/>
                <w:szCs w:val="20"/>
                <w:u w:val="none"/>
                <w:lang w:val="en-US" w:eastAsia="zh-CN" w:bidi="ar"/>
              </w:rPr>
              <w:t>指标1：二类疫苗质量</w:t>
            </w:r>
          </w:p>
        </w:tc>
        <w:tc>
          <w:tcPr>
            <w:tcW w:w="3930" w:type="dxa"/>
            <w:gridSpan w:val="2"/>
            <w:tcBorders>
              <w:tl2br w:val="nil"/>
              <w:tr2bl w:val="nil"/>
            </w:tcBorders>
            <w:vAlign w:val="center"/>
          </w:tcPr>
          <w:p w14:paraId="05FF1AE9">
            <w:pPr>
              <w:keepNext w:val="0"/>
              <w:keepLines w:val="0"/>
              <w:widowControl/>
              <w:suppressLineNumbers w:val="0"/>
              <w:jc w:val="center"/>
              <w:textAlignment w:val="center"/>
              <w:rPr>
                <w:rFonts w:ascii="宋体" w:cs="宋体"/>
                <w:color w:val="auto"/>
                <w:kern w:val="0"/>
                <w:sz w:val="20"/>
                <w:szCs w:val="20"/>
              </w:rPr>
            </w:pPr>
            <w:r>
              <w:rPr>
                <w:rFonts w:hint="eastAsia" w:ascii="宋体" w:hAnsi="宋体" w:eastAsia="宋体" w:cs="宋体"/>
                <w:i w:val="0"/>
                <w:iCs w:val="0"/>
                <w:color w:val="auto"/>
                <w:kern w:val="0"/>
                <w:sz w:val="20"/>
                <w:szCs w:val="20"/>
                <w:u w:val="none"/>
                <w:lang w:val="en-US" w:eastAsia="zh-CN" w:bidi="ar"/>
              </w:rPr>
              <w:t>国家标准</w:t>
            </w:r>
          </w:p>
        </w:tc>
      </w:tr>
      <w:tr w14:paraId="14BD71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3" w:hRule="atLeast"/>
          <w:jc w:val="center"/>
        </w:trPr>
        <w:tc>
          <w:tcPr>
            <w:tcW w:w="438" w:type="dxa"/>
            <w:vMerge w:val="continue"/>
            <w:tcBorders>
              <w:tl2br w:val="nil"/>
              <w:tr2bl w:val="nil"/>
            </w:tcBorders>
            <w:vAlign w:val="center"/>
          </w:tcPr>
          <w:p w14:paraId="4C5F9B7E">
            <w:pPr>
              <w:keepNext w:val="0"/>
              <w:keepLines w:val="0"/>
              <w:pageBreakBefore w:val="0"/>
              <w:kinsoku/>
              <w:wordWrap/>
              <w:overflowPunct/>
              <w:topLinePunct w:val="0"/>
              <w:autoSpaceDE/>
              <w:autoSpaceDN/>
              <w:bidi w:val="0"/>
              <w:adjustRightInd/>
              <w:snapToGrid/>
              <w:spacing w:line="240" w:lineRule="auto"/>
              <w:jc w:val="center"/>
              <w:rPr>
                <w:rFonts w:ascii="宋体" w:cs="宋体"/>
                <w:color w:val="auto"/>
                <w:kern w:val="0"/>
                <w:sz w:val="20"/>
                <w:szCs w:val="20"/>
              </w:rPr>
            </w:pPr>
          </w:p>
        </w:tc>
        <w:tc>
          <w:tcPr>
            <w:tcW w:w="723" w:type="dxa"/>
            <w:vMerge w:val="continue"/>
            <w:tcBorders>
              <w:tl2br w:val="nil"/>
              <w:tr2bl w:val="nil"/>
            </w:tcBorders>
            <w:vAlign w:val="center"/>
          </w:tcPr>
          <w:p w14:paraId="7E9BFA70">
            <w:pPr>
              <w:keepNext w:val="0"/>
              <w:keepLines w:val="0"/>
              <w:pageBreakBefore w:val="0"/>
              <w:kinsoku/>
              <w:wordWrap/>
              <w:overflowPunct/>
              <w:topLinePunct w:val="0"/>
              <w:autoSpaceDE/>
              <w:autoSpaceDN/>
              <w:bidi w:val="0"/>
              <w:adjustRightInd/>
              <w:snapToGrid/>
              <w:spacing w:line="240" w:lineRule="auto"/>
              <w:jc w:val="center"/>
              <w:rPr>
                <w:rFonts w:ascii="宋体" w:cs="宋体"/>
                <w:color w:val="auto"/>
                <w:kern w:val="0"/>
                <w:sz w:val="20"/>
                <w:szCs w:val="20"/>
              </w:rPr>
            </w:pPr>
          </w:p>
        </w:tc>
        <w:tc>
          <w:tcPr>
            <w:tcW w:w="929" w:type="dxa"/>
            <w:gridSpan w:val="2"/>
            <w:tcBorders>
              <w:tl2br w:val="nil"/>
              <w:tr2bl w:val="nil"/>
            </w:tcBorders>
            <w:vAlign w:val="center"/>
          </w:tcPr>
          <w:p w14:paraId="5DEDA2E5">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ascii="宋体" w:cs="宋体"/>
                <w:color w:val="auto"/>
                <w:kern w:val="0"/>
                <w:sz w:val="20"/>
                <w:szCs w:val="20"/>
              </w:rPr>
            </w:pPr>
            <w:r>
              <w:rPr>
                <w:rFonts w:hint="eastAsia" w:ascii="宋体" w:hAnsi="宋体" w:eastAsia="宋体" w:cs="宋体"/>
                <w:color w:val="auto"/>
                <w:kern w:val="0"/>
                <w:sz w:val="20"/>
                <w:szCs w:val="20"/>
              </w:rPr>
              <w:t>时效指标</w:t>
            </w:r>
          </w:p>
        </w:tc>
        <w:tc>
          <w:tcPr>
            <w:tcW w:w="3000" w:type="dxa"/>
            <w:tcBorders>
              <w:tl2br w:val="nil"/>
              <w:tr2bl w:val="nil"/>
            </w:tcBorders>
            <w:vAlign w:val="center"/>
          </w:tcPr>
          <w:p w14:paraId="3A467B2C">
            <w:pPr>
              <w:keepNext w:val="0"/>
              <w:keepLines w:val="0"/>
              <w:widowControl/>
              <w:suppressLineNumbers w:val="0"/>
              <w:jc w:val="left"/>
              <w:textAlignment w:val="center"/>
              <w:rPr>
                <w:rFonts w:ascii="宋体" w:cs="宋体"/>
                <w:color w:val="auto"/>
                <w:kern w:val="0"/>
                <w:sz w:val="20"/>
                <w:szCs w:val="20"/>
              </w:rPr>
            </w:pPr>
            <w:r>
              <w:rPr>
                <w:rFonts w:hint="eastAsia" w:ascii="宋体" w:hAnsi="宋体" w:eastAsia="宋体" w:cs="宋体"/>
                <w:i w:val="0"/>
                <w:iCs w:val="0"/>
                <w:color w:val="auto"/>
                <w:kern w:val="0"/>
                <w:sz w:val="20"/>
                <w:szCs w:val="20"/>
                <w:u w:val="none"/>
                <w:lang w:val="en-US" w:eastAsia="zh-CN" w:bidi="ar"/>
              </w:rPr>
              <w:t>指标1：二类疫苗时效</w:t>
            </w:r>
          </w:p>
        </w:tc>
        <w:tc>
          <w:tcPr>
            <w:tcW w:w="3930" w:type="dxa"/>
            <w:gridSpan w:val="2"/>
            <w:tcBorders>
              <w:tl2br w:val="nil"/>
              <w:tr2bl w:val="nil"/>
            </w:tcBorders>
            <w:vAlign w:val="center"/>
          </w:tcPr>
          <w:p w14:paraId="3B82F2E2">
            <w:pPr>
              <w:keepNext w:val="0"/>
              <w:keepLines w:val="0"/>
              <w:widowControl/>
              <w:suppressLineNumbers w:val="0"/>
              <w:jc w:val="center"/>
              <w:textAlignment w:val="center"/>
              <w:rPr>
                <w:rFonts w:ascii="宋体" w:cs="宋体"/>
                <w:color w:val="auto"/>
                <w:kern w:val="0"/>
                <w:sz w:val="20"/>
                <w:szCs w:val="20"/>
              </w:rPr>
            </w:pPr>
            <w:r>
              <w:rPr>
                <w:rFonts w:hint="eastAsia" w:ascii="宋体" w:hAnsi="宋体" w:eastAsia="宋体" w:cs="宋体"/>
                <w:i w:val="0"/>
                <w:iCs w:val="0"/>
                <w:color w:val="auto"/>
                <w:kern w:val="0"/>
                <w:sz w:val="20"/>
                <w:szCs w:val="20"/>
                <w:u w:val="none"/>
                <w:lang w:val="en-US" w:eastAsia="zh-CN" w:bidi="ar"/>
              </w:rPr>
              <w:t>及时高效</w:t>
            </w:r>
          </w:p>
        </w:tc>
      </w:tr>
      <w:tr w14:paraId="4CA34E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3" w:hRule="atLeast"/>
          <w:jc w:val="center"/>
        </w:trPr>
        <w:tc>
          <w:tcPr>
            <w:tcW w:w="438" w:type="dxa"/>
            <w:vMerge w:val="continue"/>
            <w:tcBorders>
              <w:tl2br w:val="nil"/>
              <w:tr2bl w:val="nil"/>
            </w:tcBorders>
            <w:vAlign w:val="center"/>
          </w:tcPr>
          <w:p w14:paraId="0AA6DAC5">
            <w:pPr>
              <w:keepNext w:val="0"/>
              <w:keepLines w:val="0"/>
              <w:pageBreakBefore w:val="0"/>
              <w:kinsoku/>
              <w:wordWrap/>
              <w:overflowPunct/>
              <w:topLinePunct w:val="0"/>
              <w:autoSpaceDE/>
              <w:autoSpaceDN/>
              <w:bidi w:val="0"/>
              <w:adjustRightInd/>
              <w:snapToGrid/>
              <w:spacing w:line="240" w:lineRule="auto"/>
              <w:jc w:val="center"/>
              <w:rPr>
                <w:rFonts w:ascii="宋体" w:cs="宋体"/>
                <w:color w:val="auto"/>
                <w:kern w:val="0"/>
                <w:sz w:val="20"/>
                <w:szCs w:val="20"/>
              </w:rPr>
            </w:pPr>
          </w:p>
        </w:tc>
        <w:tc>
          <w:tcPr>
            <w:tcW w:w="723" w:type="dxa"/>
            <w:vMerge w:val="continue"/>
            <w:tcBorders>
              <w:tl2br w:val="nil"/>
              <w:tr2bl w:val="nil"/>
            </w:tcBorders>
            <w:vAlign w:val="center"/>
          </w:tcPr>
          <w:p w14:paraId="2FDEA10E">
            <w:pPr>
              <w:keepNext w:val="0"/>
              <w:keepLines w:val="0"/>
              <w:pageBreakBefore w:val="0"/>
              <w:kinsoku/>
              <w:wordWrap/>
              <w:overflowPunct/>
              <w:topLinePunct w:val="0"/>
              <w:autoSpaceDE/>
              <w:autoSpaceDN/>
              <w:bidi w:val="0"/>
              <w:adjustRightInd/>
              <w:snapToGrid/>
              <w:spacing w:line="240" w:lineRule="auto"/>
              <w:jc w:val="center"/>
              <w:rPr>
                <w:rFonts w:ascii="宋体" w:cs="宋体"/>
                <w:color w:val="auto"/>
                <w:kern w:val="0"/>
                <w:sz w:val="20"/>
                <w:szCs w:val="20"/>
              </w:rPr>
            </w:pPr>
          </w:p>
        </w:tc>
        <w:tc>
          <w:tcPr>
            <w:tcW w:w="929" w:type="dxa"/>
            <w:gridSpan w:val="2"/>
            <w:tcBorders>
              <w:tl2br w:val="nil"/>
              <w:tr2bl w:val="nil"/>
            </w:tcBorders>
            <w:vAlign w:val="center"/>
          </w:tcPr>
          <w:p w14:paraId="3A912565">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ascii="宋体" w:cs="宋体"/>
                <w:color w:val="auto"/>
                <w:kern w:val="0"/>
                <w:sz w:val="20"/>
                <w:szCs w:val="20"/>
              </w:rPr>
            </w:pPr>
            <w:r>
              <w:rPr>
                <w:rFonts w:hint="eastAsia" w:ascii="宋体" w:hAnsi="宋体" w:eastAsia="宋体" w:cs="宋体"/>
                <w:color w:val="auto"/>
                <w:kern w:val="0"/>
                <w:sz w:val="20"/>
                <w:szCs w:val="20"/>
              </w:rPr>
              <w:t>成本指标</w:t>
            </w:r>
          </w:p>
        </w:tc>
        <w:tc>
          <w:tcPr>
            <w:tcW w:w="3000" w:type="dxa"/>
            <w:tcBorders>
              <w:tl2br w:val="nil"/>
              <w:tr2bl w:val="nil"/>
            </w:tcBorders>
            <w:vAlign w:val="center"/>
          </w:tcPr>
          <w:p w14:paraId="189DEEE8">
            <w:pPr>
              <w:keepNext w:val="0"/>
              <w:keepLines w:val="0"/>
              <w:widowControl/>
              <w:suppressLineNumbers w:val="0"/>
              <w:jc w:val="left"/>
              <w:textAlignment w:val="center"/>
              <w:rPr>
                <w:rFonts w:ascii="宋体" w:cs="宋体"/>
                <w:color w:val="auto"/>
                <w:kern w:val="0"/>
                <w:sz w:val="20"/>
                <w:szCs w:val="20"/>
              </w:rPr>
            </w:pPr>
            <w:r>
              <w:rPr>
                <w:rFonts w:hint="eastAsia" w:ascii="宋体" w:hAnsi="宋体" w:eastAsia="宋体" w:cs="宋体"/>
                <w:i w:val="0"/>
                <w:iCs w:val="0"/>
                <w:color w:val="auto"/>
                <w:kern w:val="0"/>
                <w:sz w:val="20"/>
                <w:szCs w:val="20"/>
                <w:u w:val="none"/>
                <w:lang w:val="en-US" w:eastAsia="zh-CN" w:bidi="ar"/>
              </w:rPr>
              <w:t>指标1：项目总经费</w:t>
            </w:r>
          </w:p>
        </w:tc>
        <w:tc>
          <w:tcPr>
            <w:tcW w:w="3930" w:type="dxa"/>
            <w:gridSpan w:val="2"/>
            <w:tcBorders>
              <w:tl2br w:val="nil"/>
              <w:tr2bl w:val="nil"/>
            </w:tcBorders>
            <w:vAlign w:val="center"/>
          </w:tcPr>
          <w:p w14:paraId="14B7C12B">
            <w:pPr>
              <w:keepNext w:val="0"/>
              <w:keepLines w:val="0"/>
              <w:widowControl/>
              <w:suppressLineNumbers w:val="0"/>
              <w:jc w:val="center"/>
              <w:textAlignment w:val="center"/>
              <w:rPr>
                <w:rFonts w:ascii="宋体" w:cs="宋体"/>
                <w:color w:val="auto"/>
                <w:kern w:val="0"/>
                <w:sz w:val="20"/>
                <w:szCs w:val="20"/>
              </w:rPr>
            </w:pPr>
            <w:r>
              <w:rPr>
                <w:rFonts w:hint="eastAsia" w:ascii="宋体" w:hAnsi="宋体" w:eastAsia="宋体" w:cs="宋体"/>
                <w:i w:val="0"/>
                <w:iCs w:val="0"/>
                <w:color w:val="auto"/>
                <w:kern w:val="0"/>
                <w:sz w:val="20"/>
                <w:szCs w:val="20"/>
                <w:u w:val="none"/>
                <w:lang w:val="en-US" w:eastAsia="zh-CN" w:bidi="ar"/>
              </w:rPr>
              <w:t>≤57.4万元</w:t>
            </w:r>
          </w:p>
        </w:tc>
      </w:tr>
      <w:tr w14:paraId="12708B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3" w:hRule="atLeast"/>
          <w:jc w:val="center"/>
        </w:trPr>
        <w:tc>
          <w:tcPr>
            <w:tcW w:w="438" w:type="dxa"/>
            <w:vMerge w:val="continue"/>
            <w:tcBorders>
              <w:tl2br w:val="nil"/>
              <w:tr2bl w:val="nil"/>
            </w:tcBorders>
            <w:vAlign w:val="center"/>
          </w:tcPr>
          <w:p w14:paraId="3F9F915B">
            <w:pPr>
              <w:keepNext w:val="0"/>
              <w:keepLines w:val="0"/>
              <w:pageBreakBefore w:val="0"/>
              <w:kinsoku/>
              <w:wordWrap/>
              <w:overflowPunct/>
              <w:topLinePunct w:val="0"/>
              <w:autoSpaceDE/>
              <w:autoSpaceDN/>
              <w:bidi w:val="0"/>
              <w:adjustRightInd/>
              <w:snapToGrid/>
              <w:spacing w:line="240" w:lineRule="auto"/>
              <w:jc w:val="center"/>
              <w:rPr>
                <w:rFonts w:ascii="宋体" w:cs="宋体"/>
                <w:color w:val="auto"/>
                <w:kern w:val="0"/>
                <w:sz w:val="20"/>
                <w:szCs w:val="20"/>
              </w:rPr>
            </w:pPr>
          </w:p>
        </w:tc>
        <w:tc>
          <w:tcPr>
            <w:tcW w:w="723" w:type="dxa"/>
            <w:vMerge w:val="restart"/>
            <w:tcBorders>
              <w:tl2br w:val="nil"/>
              <w:tr2bl w:val="nil"/>
            </w:tcBorders>
            <w:vAlign w:val="center"/>
          </w:tcPr>
          <w:p w14:paraId="00EFCC91">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ascii="宋体" w:cs="宋体"/>
                <w:color w:val="auto"/>
                <w:kern w:val="0"/>
                <w:sz w:val="20"/>
                <w:szCs w:val="20"/>
              </w:rPr>
            </w:pPr>
            <w:r>
              <w:rPr>
                <w:rFonts w:hint="eastAsia" w:ascii="宋体" w:hAnsi="宋体" w:eastAsia="宋体" w:cs="宋体"/>
                <w:color w:val="auto"/>
                <w:kern w:val="0"/>
                <w:sz w:val="20"/>
                <w:szCs w:val="20"/>
              </w:rPr>
              <w:t>效益指标</w:t>
            </w:r>
          </w:p>
        </w:tc>
        <w:tc>
          <w:tcPr>
            <w:tcW w:w="929" w:type="dxa"/>
            <w:gridSpan w:val="2"/>
            <w:tcBorders>
              <w:tl2br w:val="nil"/>
              <w:tr2bl w:val="nil"/>
            </w:tcBorders>
            <w:vAlign w:val="center"/>
          </w:tcPr>
          <w:p w14:paraId="0A067F94">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ascii="宋体" w:cs="宋体"/>
                <w:color w:val="auto"/>
                <w:kern w:val="0"/>
                <w:sz w:val="20"/>
                <w:szCs w:val="20"/>
              </w:rPr>
            </w:pPr>
            <w:r>
              <w:rPr>
                <w:rFonts w:hint="eastAsia" w:ascii="宋体" w:hAnsi="宋体" w:eastAsia="宋体" w:cs="宋体"/>
                <w:color w:val="auto"/>
                <w:kern w:val="0"/>
                <w:sz w:val="20"/>
                <w:szCs w:val="20"/>
              </w:rPr>
              <w:t>经济效益指标</w:t>
            </w:r>
          </w:p>
        </w:tc>
        <w:tc>
          <w:tcPr>
            <w:tcW w:w="3000" w:type="dxa"/>
            <w:tcBorders>
              <w:tl2br w:val="nil"/>
              <w:tr2bl w:val="nil"/>
            </w:tcBorders>
            <w:vAlign w:val="center"/>
          </w:tcPr>
          <w:p w14:paraId="7CE901D3">
            <w:pPr>
              <w:keepNext w:val="0"/>
              <w:keepLines w:val="0"/>
              <w:widowControl/>
              <w:suppressLineNumbers w:val="0"/>
              <w:jc w:val="left"/>
              <w:textAlignment w:val="center"/>
              <w:rPr>
                <w:rFonts w:ascii="宋体" w:cs="宋体"/>
                <w:color w:val="auto"/>
                <w:kern w:val="0"/>
                <w:sz w:val="20"/>
                <w:szCs w:val="20"/>
              </w:rPr>
            </w:pPr>
            <w:r>
              <w:rPr>
                <w:rFonts w:hint="eastAsia" w:ascii="宋体" w:hAnsi="宋体" w:eastAsia="宋体" w:cs="宋体"/>
                <w:i w:val="0"/>
                <w:iCs w:val="0"/>
                <w:color w:val="auto"/>
                <w:kern w:val="0"/>
                <w:sz w:val="20"/>
                <w:szCs w:val="20"/>
                <w:u w:val="none"/>
                <w:lang w:val="en-US" w:eastAsia="zh-CN" w:bidi="ar"/>
              </w:rPr>
              <w:t>指标1：非免疫规划疫苗储存运输费</w:t>
            </w:r>
          </w:p>
        </w:tc>
        <w:tc>
          <w:tcPr>
            <w:tcW w:w="3930" w:type="dxa"/>
            <w:gridSpan w:val="2"/>
            <w:tcBorders>
              <w:tl2br w:val="nil"/>
              <w:tr2bl w:val="nil"/>
            </w:tcBorders>
            <w:vAlign w:val="center"/>
          </w:tcPr>
          <w:p w14:paraId="38077583">
            <w:pPr>
              <w:keepNext w:val="0"/>
              <w:keepLines w:val="0"/>
              <w:widowControl/>
              <w:suppressLineNumbers w:val="0"/>
              <w:jc w:val="center"/>
              <w:textAlignment w:val="center"/>
              <w:rPr>
                <w:rFonts w:hint="eastAsia" w:ascii="宋体" w:cs="宋体" w:eastAsiaTheme="minorEastAsia"/>
                <w:color w:val="auto"/>
                <w:kern w:val="0"/>
                <w:sz w:val="20"/>
                <w:szCs w:val="20"/>
                <w:lang w:val="en-US" w:eastAsia="zh-CN"/>
              </w:rPr>
            </w:pPr>
            <w:r>
              <w:rPr>
                <w:rFonts w:hint="eastAsia" w:ascii="宋体" w:hAnsi="宋体" w:eastAsia="宋体" w:cs="宋体"/>
                <w:i w:val="0"/>
                <w:iCs w:val="0"/>
                <w:color w:val="auto"/>
                <w:kern w:val="0"/>
                <w:sz w:val="20"/>
                <w:szCs w:val="20"/>
                <w:u w:val="none"/>
                <w:lang w:val="en-US" w:eastAsia="zh-CN" w:bidi="ar"/>
              </w:rPr>
              <w:t>根据采购数量</w:t>
            </w:r>
          </w:p>
        </w:tc>
      </w:tr>
      <w:tr w14:paraId="405E62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3" w:hRule="atLeast"/>
          <w:jc w:val="center"/>
        </w:trPr>
        <w:tc>
          <w:tcPr>
            <w:tcW w:w="438" w:type="dxa"/>
            <w:vMerge w:val="continue"/>
            <w:tcBorders>
              <w:tl2br w:val="nil"/>
              <w:tr2bl w:val="nil"/>
            </w:tcBorders>
            <w:vAlign w:val="center"/>
          </w:tcPr>
          <w:p w14:paraId="5CB3B883">
            <w:pPr>
              <w:keepNext w:val="0"/>
              <w:keepLines w:val="0"/>
              <w:pageBreakBefore w:val="0"/>
              <w:kinsoku/>
              <w:wordWrap/>
              <w:overflowPunct/>
              <w:topLinePunct w:val="0"/>
              <w:autoSpaceDE/>
              <w:autoSpaceDN/>
              <w:bidi w:val="0"/>
              <w:adjustRightInd/>
              <w:snapToGrid/>
              <w:spacing w:line="240" w:lineRule="auto"/>
              <w:jc w:val="center"/>
              <w:rPr>
                <w:rFonts w:ascii="宋体" w:cs="宋体"/>
                <w:color w:val="auto"/>
                <w:kern w:val="0"/>
                <w:sz w:val="20"/>
                <w:szCs w:val="20"/>
              </w:rPr>
            </w:pPr>
          </w:p>
        </w:tc>
        <w:tc>
          <w:tcPr>
            <w:tcW w:w="723" w:type="dxa"/>
            <w:vMerge w:val="continue"/>
            <w:tcBorders>
              <w:tl2br w:val="nil"/>
              <w:tr2bl w:val="nil"/>
            </w:tcBorders>
            <w:vAlign w:val="center"/>
          </w:tcPr>
          <w:p w14:paraId="1943798B">
            <w:pPr>
              <w:keepNext w:val="0"/>
              <w:keepLines w:val="0"/>
              <w:pageBreakBefore w:val="0"/>
              <w:kinsoku/>
              <w:wordWrap/>
              <w:overflowPunct/>
              <w:topLinePunct w:val="0"/>
              <w:autoSpaceDE/>
              <w:autoSpaceDN/>
              <w:bidi w:val="0"/>
              <w:adjustRightInd/>
              <w:snapToGrid/>
              <w:spacing w:line="240" w:lineRule="auto"/>
              <w:jc w:val="center"/>
              <w:rPr>
                <w:rFonts w:ascii="宋体" w:cs="宋体"/>
                <w:color w:val="auto"/>
                <w:kern w:val="0"/>
                <w:sz w:val="20"/>
                <w:szCs w:val="20"/>
              </w:rPr>
            </w:pPr>
          </w:p>
        </w:tc>
        <w:tc>
          <w:tcPr>
            <w:tcW w:w="929" w:type="dxa"/>
            <w:gridSpan w:val="2"/>
            <w:tcBorders>
              <w:tl2br w:val="nil"/>
              <w:tr2bl w:val="nil"/>
            </w:tcBorders>
            <w:vAlign w:val="center"/>
          </w:tcPr>
          <w:p w14:paraId="2650AD49">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ascii="宋体" w:cs="宋体"/>
                <w:color w:val="auto"/>
                <w:kern w:val="0"/>
                <w:sz w:val="20"/>
                <w:szCs w:val="20"/>
              </w:rPr>
            </w:pPr>
            <w:r>
              <w:rPr>
                <w:rFonts w:hint="eastAsia" w:ascii="宋体" w:hAnsi="宋体" w:eastAsia="宋体" w:cs="宋体"/>
                <w:color w:val="auto"/>
                <w:kern w:val="0"/>
                <w:sz w:val="20"/>
                <w:szCs w:val="20"/>
              </w:rPr>
              <w:t>社会效益指标</w:t>
            </w:r>
          </w:p>
        </w:tc>
        <w:tc>
          <w:tcPr>
            <w:tcW w:w="3000" w:type="dxa"/>
            <w:tcBorders>
              <w:tl2br w:val="nil"/>
              <w:tr2bl w:val="nil"/>
            </w:tcBorders>
            <w:vAlign w:val="center"/>
          </w:tcPr>
          <w:p w14:paraId="7487AD91">
            <w:pPr>
              <w:keepNext w:val="0"/>
              <w:keepLines w:val="0"/>
              <w:widowControl/>
              <w:suppressLineNumbers w:val="0"/>
              <w:jc w:val="left"/>
              <w:textAlignment w:val="center"/>
              <w:rPr>
                <w:rFonts w:ascii="宋体" w:cs="宋体"/>
                <w:color w:val="auto"/>
                <w:kern w:val="0"/>
                <w:sz w:val="20"/>
                <w:szCs w:val="20"/>
              </w:rPr>
            </w:pPr>
            <w:r>
              <w:rPr>
                <w:rFonts w:hint="eastAsia" w:ascii="宋体" w:hAnsi="宋体" w:eastAsia="宋体" w:cs="宋体"/>
                <w:i w:val="0"/>
                <w:iCs w:val="0"/>
                <w:color w:val="auto"/>
                <w:kern w:val="0"/>
                <w:sz w:val="20"/>
                <w:szCs w:val="20"/>
                <w:u w:val="none"/>
                <w:lang w:val="en-US" w:eastAsia="zh-CN" w:bidi="ar"/>
              </w:rPr>
              <w:t>指标1：保护人民群众身体健康</w:t>
            </w:r>
          </w:p>
        </w:tc>
        <w:tc>
          <w:tcPr>
            <w:tcW w:w="3930" w:type="dxa"/>
            <w:gridSpan w:val="2"/>
            <w:tcBorders>
              <w:tl2br w:val="nil"/>
              <w:tr2bl w:val="nil"/>
            </w:tcBorders>
            <w:vAlign w:val="center"/>
          </w:tcPr>
          <w:p w14:paraId="43B5C534">
            <w:pPr>
              <w:keepNext w:val="0"/>
              <w:keepLines w:val="0"/>
              <w:widowControl/>
              <w:suppressLineNumbers w:val="0"/>
              <w:jc w:val="center"/>
              <w:textAlignment w:val="center"/>
              <w:rPr>
                <w:rFonts w:hint="default" w:ascii="宋体" w:cs="宋体" w:eastAsiaTheme="minorEastAsia"/>
                <w:color w:val="auto"/>
                <w:kern w:val="0"/>
                <w:sz w:val="20"/>
                <w:szCs w:val="20"/>
                <w:lang w:val="en-US" w:eastAsia="zh-CN"/>
              </w:rPr>
            </w:pPr>
            <w:r>
              <w:rPr>
                <w:rFonts w:hint="eastAsia" w:ascii="宋体" w:hAnsi="宋体" w:eastAsia="宋体" w:cs="宋体"/>
                <w:i w:val="0"/>
                <w:iCs w:val="0"/>
                <w:color w:val="auto"/>
                <w:kern w:val="0"/>
                <w:sz w:val="20"/>
                <w:szCs w:val="20"/>
                <w:u w:val="none"/>
                <w:lang w:val="en-US" w:eastAsia="zh-CN" w:bidi="ar"/>
              </w:rPr>
              <w:t>较高</w:t>
            </w:r>
          </w:p>
        </w:tc>
      </w:tr>
      <w:tr w14:paraId="1A2294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3" w:hRule="atLeast"/>
          <w:jc w:val="center"/>
        </w:trPr>
        <w:tc>
          <w:tcPr>
            <w:tcW w:w="438" w:type="dxa"/>
            <w:vMerge w:val="continue"/>
            <w:tcBorders>
              <w:tl2br w:val="nil"/>
              <w:tr2bl w:val="nil"/>
            </w:tcBorders>
            <w:vAlign w:val="center"/>
          </w:tcPr>
          <w:p w14:paraId="09A55FFF">
            <w:pPr>
              <w:keepNext w:val="0"/>
              <w:keepLines w:val="0"/>
              <w:pageBreakBefore w:val="0"/>
              <w:kinsoku/>
              <w:wordWrap/>
              <w:overflowPunct/>
              <w:topLinePunct w:val="0"/>
              <w:autoSpaceDE/>
              <w:autoSpaceDN/>
              <w:bidi w:val="0"/>
              <w:adjustRightInd/>
              <w:snapToGrid/>
              <w:spacing w:line="240" w:lineRule="auto"/>
              <w:jc w:val="center"/>
              <w:rPr>
                <w:rFonts w:ascii="宋体" w:cs="宋体"/>
                <w:color w:val="auto"/>
                <w:kern w:val="0"/>
                <w:sz w:val="20"/>
                <w:szCs w:val="20"/>
              </w:rPr>
            </w:pPr>
          </w:p>
        </w:tc>
        <w:tc>
          <w:tcPr>
            <w:tcW w:w="723" w:type="dxa"/>
            <w:vMerge w:val="continue"/>
            <w:tcBorders>
              <w:tl2br w:val="nil"/>
              <w:tr2bl w:val="nil"/>
            </w:tcBorders>
            <w:vAlign w:val="center"/>
          </w:tcPr>
          <w:p w14:paraId="6B9FCDD6">
            <w:pPr>
              <w:keepNext w:val="0"/>
              <w:keepLines w:val="0"/>
              <w:pageBreakBefore w:val="0"/>
              <w:kinsoku/>
              <w:wordWrap/>
              <w:overflowPunct/>
              <w:topLinePunct w:val="0"/>
              <w:autoSpaceDE/>
              <w:autoSpaceDN/>
              <w:bidi w:val="0"/>
              <w:adjustRightInd/>
              <w:snapToGrid/>
              <w:spacing w:line="240" w:lineRule="auto"/>
              <w:jc w:val="center"/>
              <w:rPr>
                <w:rFonts w:ascii="宋体" w:cs="宋体"/>
                <w:color w:val="auto"/>
                <w:kern w:val="0"/>
                <w:sz w:val="20"/>
                <w:szCs w:val="20"/>
              </w:rPr>
            </w:pPr>
          </w:p>
        </w:tc>
        <w:tc>
          <w:tcPr>
            <w:tcW w:w="929" w:type="dxa"/>
            <w:gridSpan w:val="2"/>
            <w:tcBorders>
              <w:tl2br w:val="nil"/>
              <w:tr2bl w:val="nil"/>
            </w:tcBorders>
            <w:vAlign w:val="center"/>
          </w:tcPr>
          <w:p w14:paraId="4760242E">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ascii="宋体" w:cs="宋体"/>
                <w:color w:val="auto"/>
                <w:kern w:val="0"/>
                <w:sz w:val="20"/>
                <w:szCs w:val="20"/>
              </w:rPr>
            </w:pPr>
            <w:r>
              <w:rPr>
                <w:rFonts w:hint="eastAsia" w:ascii="宋体" w:hAnsi="宋体" w:eastAsia="宋体" w:cs="宋体"/>
                <w:color w:val="auto"/>
                <w:kern w:val="0"/>
                <w:sz w:val="20"/>
                <w:szCs w:val="20"/>
              </w:rPr>
              <w:t>生态效益指标</w:t>
            </w:r>
          </w:p>
        </w:tc>
        <w:tc>
          <w:tcPr>
            <w:tcW w:w="3000" w:type="dxa"/>
            <w:tcBorders>
              <w:tl2br w:val="nil"/>
              <w:tr2bl w:val="nil"/>
            </w:tcBorders>
            <w:vAlign w:val="center"/>
          </w:tcPr>
          <w:p w14:paraId="52D8426B">
            <w:pPr>
              <w:keepNext w:val="0"/>
              <w:keepLines w:val="0"/>
              <w:widowControl/>
              <w:suppressLineNumbers w:val="0"/>
              <w:jc w:val="left"/>
              <w:textAlignment w:val="center"/>
              <w:rPr>
                <w:rFonts w:ascii="宋体" w:cs="宋体"/>
                <w:color w:val="auto"/>
                <w:kern w:val="0"/>
                <w:sz w:val="20"/>
                <w:szCs w:val="20"/>
              </w:rPr>
            </w:pPr>
            <w:r>
              <w:rPr>
                <w:rFonts w:hint="eastAsia" w:ascii="宋体" w:hAnsi="宋体" w:eastAsia="宋体" w:cs="宋体"/>
                <w:i w:val="0"/>
                <w:iCs w:val="0"/>
                <w:color w:val="auto"/>
                <w:kern w:val="0"/>
                <w:sz w:val="20"/>
                <w:szCs w:val="20"/>
                <w:u w:val="none"/>
                <w:lang w:val="en-US" w:eastAsia="zh-CN" w:bidi="ar"/>
              </w:rPr>
              <w:t>指标1：建立高水平免疫屏障</w:t>
            </w:r>
          </w:p>
        </w:tc>
        <w:tc>
          <w:tcPr>
            <w:tcW w:w="3930" w:type="dxa"/>
            <w:gridSpan w:val="2"/>
            <w:tcBorders>
              <w:tl2br w:val="nil"/>
              <w:tr2bl w:val="nil"/>
            </w:tcBorders>
            <w:vAlign w:val="center"/>
          </w:tcPr>
          <w:p w14:paraId="0131225D">
            <w:pPr>
              <w:keepNext w:val="0"/>
              <w:keepLines w:val="0"/>
              <w:widowControl/>
              <w:suppressLineNumbers w:val="0"/>
              <w:jc w:val="center"/>
              <w:textAlignment w:val="center"/>
              <w:rPr>
                <w:rFonts w:ascii="宋体" w:cs="宋体"/>
                <w:color w:val="auto"/>
                <w:kern w:val="0"/>
                <w:sz w:val="20"/>
                <w:szCs w:val="20"/>
              </w:rPr>
            </w:pPr>
            <w:r>
              <w:rPr>
                <w:rFonts w:hint="eastAsia" w:ascii="宋体" w:hAnsi="宋体" w:eastAsia="宋体" w:cs="宋体"/>
                <w:i w:val="0"/>
                <w:iCs w:val="0"/>
                <w:color w:val="auto"/>
                <w:kern w:val="0"/>
                <w:sz w:val="20"/>
                <w:szCs w:val="20"/>
                <w:u w:val="none"/>
                <w:lang w:val="en-US" w:eastAsia="zh-CN" w:bidi="ar"/>
              </w:rPr>
              <w:t>较高</w:t>
            </w:r>
          </w:p>
        </w:tc>
      </w:tr>
      <w:tr w14:paraId="416717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jc w:val="center"/>
        </w:trPr>
        <w:tc>
          <w:tcPr>
            <w:tcW w:w="438" w:type="dxa"/>
            <w:vMerge w:val="continue"/>
            <w:tcBorders>
              <w:tl2br w:val="nil"/>
              <w:tr2bl w:val="nil"/>
            </w:tcBorders>
            <w:vAlign w:val="center"/>
          </w:tcPr>
          <w:p w14:paraId="2BE0CE90">
            <w:pPr>
              <w:keepNext w:val="0"/>
              <w:keepLines w:val="0"/>
              <w:pageBreakBefore w:val="0"/>
              <w:kinsoku/>
              <w:wordWrap/>
              <w:overflowPunct/>
              <w:topLinePunct w:val="0"/>
              <w:autoSpaceDE/>
              <w:autoSpaceDN/>
              <w:bidi w:val="0"/>
              <w:adjustRightInd/>
              <w:snapToGrid/>
              <w:spacing w:line="240" w:lineRule="auto"/>
              <w:jc w:val="center"/>
              <w:rPr>
                <w:rFonts w:ascii="宋体" w:cs="宋体"/>
                <w:color w:val="auto"/>
                <w:kern w:val="0"/>
                <w:sz w:val="20"/>
                <w:szCs w:val="20"/>
              </w:rPr>
            </w:pPr>
          </w:p>
        </w:tc>
        <w:tc>
          <w:tcPr>
            <w:tcW w:w="723" w:type="dxa"/>
            <w:vMerge w:val="continue"/>
            <w:tcBorders>
              <w:tl2br w:val="nil"/>
              <w:tr2bl w:val="nil"/>
            </w:tcBorders>
            <w:vAlign w:val="center"/>
          </w:tcPr>
          <w:p w14:paraId="351F66ED">
            <w:pPr>
              <w:keepNext w:val="0"/>
              <w:keepLines w:val="0"/>
              <w:pageBreakBefore w:val="0"/>
              <w:kinsoku/>
              <w:wordWrap/>
              <w:overflowPunct/>
              <w:topLinePunct w:val="0"/>
              <w:autoSpaceDE/>
              <w:autoSpaceDN/>
              <w:bidi w:val="0"/>
              <w:adjustRightInd/>
              <w:snapToGrid/>
              <w:spacing w:line="240" w:lineRule="auto"/>
              <w:jc w:val="center"/>
              <w:rPr>
                <w:rFonts w:ascii="宋体" w:cs="宋体"/>
                <w:color w:val="auto"/>
                <w:kern w:val="0"/>
                <w:sz w:val="20"/>
                <w:szCs w:val="20"/>
              </w:rPr>
            </w:pPr>
          </w:p>
        </w:tc>
        <w:tc>
          <w:tcPr>
            <w:tcW w:w="929" w:type="dxa"/>
            <w:gridSpan w:val="2"/>
            <w:tcBorders>
              <w:tl2br w:val="nil"/>
              <w:tr2bl w:val="nil"/>
            </w:tcBorders>
            <w:vAlign w:val="center"/>
          </w:tcPr>
          <w:p w14:paraId="7DB26A47">
            <w:pPr>
              <w:keepNext w:val="0"/>
              <w:keepLines w:val="0"/>
              <w:pageBreakBefore w:val="0"/>
              <w:widowControl/>
              <w:kinsoku/>
              <w:wordWrap/>
              <w:overflowPunct/>
              <w:topLinePunct w:val="0"/>
              <w:autoSpaceDE/>
              <w:autoSpaceDN/>
              <w:bidi w:val="0"/>
              <w:adjustRightInd/>
              <w:snapToGrid/>
              <w:spacing w:line="240" w:lineRule="auto"/>
              <w:jc w:val="center"/>
              <w:rPr>
                <w:rFonts w:ascii="宋体" w:hAnsi="宋体" w:eastAsia="宋体" w:cs="宋体"/>
                <w:color w:val="auto"/>
                <w:kern w:val="0"/>
                <w:sz w:val="20"/>
                <w:szCs w:val="20"/>
              </w:rPr>
            </w:pPr>
            <w:r>
              <w:rPr>
                <w:rFonts w:hint="eastAsia" w:ascii="宋体" w:hAnsi="宋体" w:eastAsia="宋体" w:cs="宋体"/>
                <w:color w:val="auto"/>
                <w:kern w:val="0"/>
                <w:sz w:val="20"/>
                <w:szCs w:val="20"/>
              </w:rPr>
              <w:t>可持续影响指标</w:t>
            </w:r>
          </w:p>
        </w:tc>
        <w:tc>
          <w:tcPr>
            <w:tcW w:w="3000" w:type="dxa"/>
            <w:tcBorders>
              <w:tl2br w:val="nil"/>
              <w:tr2bl w:val="nil"/>
            </w:tcBorders>
            <w:vAlign w:val="center"/>
          </w:tcPr>
          <w:p w14:paraId="706C3A16">
            <w:pPr>
              <w:keepNext w:val="0"/>
              <w:keepLines w:val="0"/>
              <w:widowControl/>
              <w:suppressLineNumbers w:val="0"/>
              <w:jc w:val="left"/>
              <w:textAlignment w:val="center"/>
              <w:rPr>
                <w:rFonts w:ascii="宋体" w:hAnsi="宋体" w:eastAsia="宋体" w:cs="宋体"/>
                <w:color w:val="auto"/>
                <w:kern w:val="0"/>
                <w:sz w:val="20"/>
                <w:szCs w:val="20"/>
              </w:rPr>
            </w:pPr>
            <w:r>
              <w:rPr>
                <w:rFonts w:hint="eastAsia" w:ascii="宋体" w:hAnsi="宋体" w:eastAsia="宋体" w:cs="宋体"/>
                <w:i w:val="0"/>
                <w:iCs w:val="0"/>
                <w:color w:val="auto"/>
                <w:kern w:val="0"/>
                <w:sz w:val="20"/>
                <w:szCs w:val="20"/>
                <w:u w:val="none"/>
                <w:lang w:val="en-US" w:eastAsia="zh-CN" w:bidi="ar"/>
              </w:rPr>
              <w:t>指标1：提高国民身体素质</w:t>
            </w:r>
          </w:p>
        </w:tc>
        <w:tc>
          <w:tcPr>
            <w:tcW w:w="3930" w:type="dxa"/>
            <w:gridSpan w:val="2"/>
            <w:tcBorders>
              <w:tl2br w:val="nil"/>
              <w:tr2bl w:val="nil"/>
            </w:tcBorders>
            <w:vAlign w:val="center"/>
          </w:tcPr>
          <w:p w14:paraId="64B4FE55">
            <w:pPr>
              <w:keepNext w:val="0"/>
              <w:keepLines w:val="0"/>
              <w:widowControl/>
              <w:suppressLineNumbers w:val="0"/>
              <w:jc w:val="center"/>
              <w:textAlignment w:val="center"/>
              <w:rPr>
                <w:rFonts w:ascii="宋体" w:cs="宋体"/>
                <w:color w:val="auto"/>
                <w:kern w:val="0"/>
                <w:sz w:val="20"/>
                <w:szCs w:val="20"/>
              </w:rPr>
            </w:pPr>
            <w:r>
              <w:rPr>
                <w:rFonts w:hint="eastAsia" w:ascii="宋体" w:hAnsi="宋体" w:eastAsia="宋体" w:cs="宋体"/>
                <w:i w:val="0"/>
                <w:iCs w:val="0"/>
                <w:color w:val="auto"/>
                <w:kern w:val="0"/>
                <w:sz w:val="20"/>
                <w:szCs w:val="20"/>
                <w:u w:val="none"/>
                <w:lang w:val="en-US" w:eastAsia="zh-CN" w:bidi="ar"/>
              </w:rPr>
              <w:t>较高</w:t>
            </w:r>
          </w:p>
        </w:tc>
      </w:tr>
      <w:tr w14:paraId="1499C8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3" w:hRule="atLeast"/>
          <w:jc w:val="center"/>
        </w:trPr>
        <w:tc>
          <w:tcPr>
            <w:tcW w:w="438" w:type="dxa"/>
            <w:vMerge w:val="continue"/>
            <w:tcBorders>
              <w:tl2br w:val="nil"/>
              <w:tr2bl w:val="nil"/>
            </w:tcBorders>
            <w:vAlign w:val="center"/>
          </w:tcPr>
          <w:p w14:paraId="1DFFFF88">
            <w:pPr>
              <w:keepNext w:val="0"/>
              <w:keepLines w:val="0"/>
              <w:pageBreakBefore w:val="0"/>
              <w:kinsoku/>
              <w:wordWrap/>
              <w:overflowPunct/>
              <w:topLinePunct w:val="0"/>
              <w:autoSpaceDE/>
              <w:autoSpaceDN/>
              <w:bidi w:val="0"/>
              <w:adjustRightInd/>
              <w:snapToGrid/>
              <w:spacing w:line="240" w:lineRule="auto"/>
              <w:jc w:val="center"/>
              <w:rPr>
                <w:rFonts w:ascii="宋体" w:cs="宋体"/>
                <w:color w:val="auto"/>
                <w:kern w:val="0"/>
                <w:sz w:val="20"/>
                <w:szCs w:val="20"/>
              </w:rPr>
            </w:pPr>
          </w:p>
        </w:tc>
        <w:tc>
          <w:tcPr>
            <w:tcW w:w="723" w:type="dxa"/>
            <w:tcBorders>
              <w:tl2br w:val="nil"/>
              <w:tr2bl w:val="nil"/>
            </w:tcBorders>
            <w:vAlign w:val="center"/>
          </w:tcPr>
          <w:p w14:paraId="18880A6D">
            <w:pPr>
              <w:keepNext w:val="0"/>
              <w:keepLines w:val="0"/>
              <w:pageBreakBefore w:val="0"/>
              <w:widowControl/>
              <w:kinsoku/>
              <w:wordWrap/>
              <w:overflowPunct/>
              <w:topLinePunct w:val="0"/>
              <w:autoSpaceDE/>
              <w:autoSpaceDN/>
              <w:bidi w:val="0"/>
              <w:adjustRightInd/>
              <w:snapToGrid/>
              <w:spacing w:line="240" w:lineRule="auto"/>
              <w:jc w:val="center"/>
              <w:rPr>
                <w:rFonts w:ascii="宋体" w:hAnsi="宋体" w:eastAsia="宋体" w:cs="宋体"/>
                <w:color w:val="auto"/>
                <w:kern w:val="0"/>
                <w:sz w:val="20"/>
                <w:szCs w:val="20"/>
              </w:rPr>
            </w:pPr>
            <w:r>
              <w:rPr>
                <w:rFonts w:hint="eastAsia" w:ascii="宋体" w:hAnsi="宋体" w:eastAsia="宋体" w:cs="宋体"/>
                <w:color w:val="auto"/>
                <w:kern w:val="0"/>
                <w:sz w:val="20"/>
                <w:szCs w:val="20"/>
              </w:rPr>
              <w:t>满意度指标</w:t>
            </w:r>
          </w:p>
        </w:tc>
        <w:tc>
          <w:tcPr>
            <w:tcW w:w="929" w:type="dxa"/>
            <w:gridSpan w:val="2"/>
            <w:tcBorders>
              <w:tl2br w:val="nil"/>
              <w:tr2bl w:val="nil"/>
            </w:tcBorders>
            <w:vAlign w:val="center"/>
          </w:tcPr>
          <w:p w14:paraId="4B57DC55">
            <w:pPr>
              <w:keepNext w:val="0"/>
              <w:keepLines w:val="0"/>
              <w:pageBreakBefore w:val="0"/>
              <w:widowControl/>
              <w:kinsoku/>
              <w:wordWrap/>
              <w:overflowPunct/>
              <w:topLinePunct w:val="0"/>
              <w:autoSpaceDE/>
              <w:autoSpaceDN/>
              <w:bidi w:val="0"/>
              <w:adjustRightInd/>
              <w:snapToGrid/>
              <w:spacing w:line="240" w:lineRule="auto"/>
              <w:jc w:val="center"/>
              <w:rPr>
                <w:rFonts w:ascii="宋体" w:hAnsi="宋体" w:eastAsia="宋体" w:cs="宋体"/>
                <w:color w:val="auto"/>
                <w:kern w:val="0"/>
                <w:sz w:val="20"/>
                <w:szCs w:val="20"/>
              </w:rPr>
            </w:pPr>
            <w:r>
              <w:rPr>
                <w:rFonts w:hint="eastAsia" w:ascii="宋体" w:hAnsi="宋体" w:eastAsia="宋体" w:cs="宋体"/>
                <w:color w:val="auto"/>
                <w:kern w:val="0"/>
                <w:sz w:val="20"/>
                <w:szCs w:val="20"/>
              </w:rPr>
              <w:t>满意度指标</w:t>
            </w:r>
          </w:p>
        </w:tc>
        <w:tc>
          <w:tcPr>
            <w:tcW w:w="3000" w:type="dxa"/>
            <w:tcBorders>
              <w:tl2br w:val="nil"/>
              <w:tr2bl w:val="nil"/>
            </w:tcBorders>
            <w:vAlign w:val="center"/>
          </w:tcPr>
          <w:p w14:paraId="717AB963">
            <w:pPr>
              <w:keepNext w:val="0"/>
              <w:keepLines w:val="0"/>
              <w:widowControl/>
              <w:suppressLineNumbers w:val="0"/>
              <w:jc w:val="left"/>
              <w:textAlignment w:val="center"/>
              <w:rPr>
                <w:rFonts w:ascii="宋体" w:hAnsi="宋体" w:eastAsia="宋体" w:cs="宋体"/>
                <w:color w:val="auto"/>
                <w:kern w:val="0"/>
                <w:sz w:val="20"/>
                <w:szCs w:val="20"/>
              </w:rPr>
            </w:pPr>
            <w:r>
              <w:rPr>
                <w:rFonts w:hint="eastAsia" w:ascii="宋体" w:hAnsi="宋体" w:eastAsia="宋体" w:cs="宋体"/>
                <w:i w:val="0"/>
                <w:iCs w:val="0"/>
                <w:color w:val="auto"/>
                <w:kern w:val="0"/>
                <w:sz w:val="20"/>
                <w:szCs w:val="20"/>
                <w:u w:val="none"/>
                <w:lang w:val="en-US" w:eastAsia="zh-CN" w:bidi="ar"/>
              </w:rPr>
              <w:t>指标1：服务对象满意度</w:t>
            </w:r>
          </w:p>
        </w:tc>
        <w:tc>
          <w:tcPr>
            <w:tcW w:w="3930" w:type="dxa"/>
            <w:gridSpan w:val="2"/>
            <w:tcBorders>
              <w:tl2br w:val="nil"/>
              <w:tr2bl w:val="nil"/>
            </w:tcBorders>
            <w:vAlign w:val="center"/>
          </w:tcPr>
          <w:p w14:paraId="037FA4D9">
            <w:pPr>
              <w:keepNext w:val="0"/>
              <w:keepLines w:val="0"/>
              <w:widowControl/>
              <w:suppressLineNumbers w:val="0"/>
              <w:jc w:val="center"/>
              <w:textAlignment w:val="center"/>
              <w:rPr>
                <w:rFonts w:ascii="宋体" w:cs="宋体"/>
                <w:color w:val="auto"/>
                <w:kern w:val="0"/>
                <w:sz w:val="20"/>
                <w:szCs w:val="20"/>
              </w:rPr>
            </w:pPr>
            <w:r>
              <w:rPr>
                <w:rFonts w:hint="eastAsia" w:ascii="宋体" w:hAnsi="宋体" w:eastAsia="宋体" w:cs="宋体"/>
                <w:i w:val="0"/>
                <w:iCs w:val="0"/>
                <w:color w:val="auto"/>
                <w:kern w:val="0"/>
                <w:sz w:val="20"/>
                <w:szCs w:val="20"/>
                <w:u w:val="none"/>
                <w:lang w:val="en-US" w:eastAsia="zh-CN" w:bidi="ar"/>
              </w:rPr>
              <w:t>满意</w:t>
            </w:r>
          </w:p>
        </w:tc>
      </w:tr>
    </w:tbl>
    <w:p w14:paraId="4CFA3FFE">
      <w:pPr>
        <w:rPr>
          <w:color w:val="auto"/>
        </w:rPr>
      </w:pPr>
    </w:p>
    <w:p w14:paraId="025D701F">
      <w:pPr>
        <w:ind w:firstLine="640" w:firstLineChars="200"/>
        <w:rPr>
          <w:rFonts w:hint="eastAsia" w:ascii="仿宋" w:hAnsi="仿宋" w:eastAsia="仿宋" w:cs="仿宋"/>
          <w:color w:val="auto"/>
          <w:kern w:val="0"/>
          <w:sz w:val="32"/>
          <w:szCs w:val="32"/>
        </w:rPr>
      </w:pPr>
      <w:r>
        <w:rPr>
          <w:rFonts w:hint="eastAsia" w:ascii="仿宋" w:hAnsi="仿宋" w:eastAsia="仿宋" w:cs="仿宋"/>
          <w:color w:val="auto"/>
          <w:kern w:val="0"/>
          <w:sz w:val="32"/>
          <w:szCs w:val="32"/>
          <w:lang w:val="en-US" w:eastAsia="zh-CN"/>
        </w:rPr>
        <w:t>7</w:t>
      </w:r>
      <w:r>
        <w:rPr>
          <w:rFonts w:hint="eastAsia" w:ascii="仿宋" w:hAnsi="仿宋" w:eastAsia="仿宋" w:cs="仿宋"/>
          <w:color w:val="auto"/>
          <w:kern w:val="0"/>
          <w:sz w:val="32"/>
          <w:szCs w:val="32"/>
        </w:rPr>
        <w:t>、“设备购置及检定校准维修维护项目”项目。</w:t>
      </w:r>
    </w:p>
    <w:p w14:paraId="0CDAC33D">
      <w:pPr>
        <w:ind w:firstLine="640" w:firstLineChars="200"/>
        <w:rPr>
          <w:rFonts w:hint="eastAsia" w:ascii="仿宋" w:hAnsi="仿宋" w:eastAsia="仿宋" w:cs="仿宋"/>
          <w:color w:val="auto"/>
          <w:kern w:val="0"/>
          <w:sz w:val="32"/>
          <w:szCs w:val="32"/>
        </w:rPr>
      </w:pPr>
      <w:r>
        <w:rPr>
          <w:rFonts w:hint="eastAsia" w:ascii="仿宋" w:hAnsi="仿宋" w:eastAsia="仿宋" w:cs="仿宋"/>
          <w:color w:val="auto"/>
          <w:kern w:val="0"/>
          <w:sz w:val="32"/>
          <w:szCs w:val="32"/>
        </w:rPr>
        <w:t>（1）项目概述。用于更新老旧办公家具用具、设备并对原设备、仪器的检定校准、日常维修维护费用。</w:t>
      </w:r>
    </w:p>
    <w:p w14:paraId="3A8807C3">
      <w:pPr>
        <w:ind w:firstLine="640" w:firstLineChars="200"/>
        <w:rPr>
          <w:rFonts w:hint="eastAsia" w:ascii="仿宋_GB2312" w:eastAsia="仿宋_GB2312"/>
          <w:color w:val="auto"/>
          <w:sz w:val="32"/>
          <w:szCs w:val="32"/>
        </w:rPr>
      </w:pPr>
      <w:r>
        <w:rPr>
          <w:rFonts w:hint="eastAsia" w:ascii="仿宋" w:hAnsi="仿宋" w:eastAsia="仿宋" w:cs="仿宋"/>
          <w:color w:val="auto"/>
          <w:kern w:val="0"/>
          <w:sz w:val="32"/>
          <w:szCs w:val="32"/>
        </w:rPr>
        <w:t>（2）立项依据。</w:t>
      </w:r>
      <w:r>
        <w:rPr>
          <w:rFonts w:hint="eastAsia" w:ascii="仿宋_GB2312" w:eastAsia="仿宋_GB2312"/>
          <w:color w:val="auto"/>
          <w:sz w:val="32"/>
          <w:szCs w:val="32"/>
        </w:rPr>
        <w:t>单位办公家具</w:t>
      </w:r>
      <w:r>
        <w:rPr>
          <w:rFonts w:hint="eastAsia" w:ascii="仿宋_GB2312" w:eastAsia="仿宋_GB2312"/>
          <w:color w:val="auto"/>
          <w:sz w:val="32"/>
          <w:szCs w:val="32"/>
          <w:lang w:val="en-US" w:eastAsia="zh-CN"/>
        </w:rPr>
        <w:t>用具</w:t>
      </w:r>
      <w:r>
        <w:rPr>
          <w:rFonts w:hint="eastAsia" w:ascii="仿宋_GB2312" w:eastAsia="仿宋_GB2312"/>
          <w:color w:val="auto"/>
          <w:sz w:val="32"/>
          <w:szCs w:val="32"/>
        </w:rPr>
        <w:t>更新</w:t>
      </w:r>
      <w:r>
        <w:rPr>
          <w:rFonts w:hint="eastAsia" w:ascii="仿宋_GB2312" w:eastAsia="仿宋_GB2312"/>
          <w:color w:val="auto"/>
          <w:sz w:val="32"/>
          <w:szCs w:val="32"/>
          <w:lang w:val="en-US" w:eastAsia="zh-CN"/>
        </w:rPr>
        <w:t>及设备校准维修维护</w:t>
      </w:r>
      <w:r>
        <w:rPr>
          <w:rFonts w:hint="eastAsia" w:ascii="仿宋_GB2312" w:eastAsia="仿宋_GB2312"/>
          <w:color w:val="auto"/>
          <w:sz w:val="32"/>
          <w:szCs w:val="32"/>
        </w:rPr>
        <w:t>。</w:t>
      </w:r>
    </w:p>
    <w:p w14:paraId="7CAB173C">
      <w:pPr>
        <w:ind w:firstLine="640" w:firstLineChars="200"/>
        <w:rPr>
          <w:rFonts w:hint="eastAsia" w:ascii="仿宋" w:hAnsi="仿宋" w:eastAsia="仿宋" w:cs="仿宋"/>
          <w:color w:val="auto"/>
          <w:kern w:val="0"/>
          <w:sz w:val="32"/>
          <w:szCs w:val="32"/>
          <w:lang w:eastAsia="zh-CN"/>
        </w:rPr>
      </w:pPr>
      <w:r>
        <w:rPr>
          <w:rFonts w:hint="eastAsia" w:ascii="仿宋" w:hAnsi="仿宋" w:eastAsia="仿宋" w:cs="仿宋"/>
          <w:color w:val="auto"/>
          <w:kern w:val="0"/>
          <w:sz w:val="32"/>
          <w:szCs w:val="32"/>
        </w:rPr>
        <w:t>（3）实施主体。淮北市疾病预防控制中心</w:t>
      </w:r>
      <w:r>
        <w:rPr>
          <w:rFonts w:hint="eastAsia" w:ascii="仿宋" w:hAnsi="仿宋" w:eastAsia="仿宋" w:cs="仿宋"/>
          <w:color w:val="auto"/>
          <w:kern w:val="0"/>
          <w:sz w:val="32"/>
          <w:szCs w:val="32"/>
          <w:lang w:eastAsia="zh-CN"/>
        </w:rPr>
        <w:t>。</w:t>
      </w:r>
    </w:p>
    <w:p w14:paraId="32F867E6">
      <w:pPr>
        <w:ind w:firstLine="640" w:firstLineChars="200"/>
        <w:rPr>
          <w:rFonts w:hint="eastAsia" w:ascii="仿宋" w:hAnsi="仿宋" w:eastAsia="仿宋" w:cs="仿宋"/>
          <w:color w:val="auto"/>
          <w:kern w:val="0"/>
          <w:sz w:val="32"/>
          <w:szCs w:val="32"/>
          <w:lang w:eastAsia="zh-CN"/>
        </w:rPr>
      </w:pPr>
      <w:r>
        <w:rPr>
          <w:rFonts w:hint="eastAsia" w:ascii="仿宋" w:hAnsi="仿宋" w:eastAsia="仿宋" w:cs="仿宋"/>
          <w:color w:val="auto"/>
          <w:kern w:val="0"/>
          <w:sz w:val="32"/>
          <w:szCs w:val="32"/>
        </w:rPr>
        <w:t>（4）起止时间。202</w:t>
      </w:r>
      <w:r>
        <w:rPr>
          <w:rFonts w:hint="eastAsia" w:ascii="仿宋" w:hAnsi="仿宋" w:eastAsia="仿宋" w:cs="仿宋"/>
          <w:color w:val="auto"/>
          <w:kern w:val="0"/>
          <w:sz w:val="32"/>
          <w:szCs w:val="32"/>
          <w:lang w:val="en-US" w:eastAsia="zh-CN"/>
        </w:rPr>
        <w:t>5</w:t>
      </w:r>
      <w:r>
        <w:rPr>
          <w:rFonts w:hint="eastAsia" w:ascii="仿宋" w:hAnsi="仿宋" w:eastAsia="仿宋" w:cs="仿宋"/>
          <w:color w:val="auto"/>
          <w:kern w:val="0"/>
          <w:sz w:val="32"/>
          <w:szCs w:val="32"/>
        </w:rPr>
        <w:t>年1-12月</w:t>
      </w:r>
      <w:r>
        <w:rPr>
          <w:rFonts w:hint="eastAsia" w:ascii="仿宋" w:hAnsi="仿宋" w:eastAsia="仿宋" w:cs="仿宋"/>
          <w:color w:val="auto"/>
          <w:kern w:val="0"/>
          <w:sz w:val="32"/>
          <w:szCs w:val="32"/>
          <w:lang w:eastAsia="zh-CN"/>
        </w:rPr>
        <w:t>。</w:t>
      </w:r>
    </w:p>
    <w:p w14:paraId="5077FF7C">
      <w:pPr>
        <w:ind w:firstLine="640" w:firstLineChars="200"/>
        <w:rPr>
          <w:rFonts w:hint="eastAsia" w:ascii="仿宋" w:hAnsi="仿宋" w:eastAsia="仿宋" w:cs="仿宋"/>
          <w:color w:val="auto"/>
          <w:kern w:val="0"/>
          <w:sz w:val="32"/>
          <w:szCs w:val="32"/>
        </w:rPr>
      </w:pPr>
      <w:r>
        <w:rPr>
          <w:rFonts w:hint="eastAsia" w:ascii="仿宋" w:hAnsi="仿宋" w:eastAsia="仿宋" w:cs="仿宋"/>
          <w:color w:val="auto"/>
          <w:kern w:val="0"/>
          <w:sz w:val="32"/>
          <w:szCs w:val="32"/>
        </w:rPr>
        <w:t>（5）项目内容。</w:t>
      </w:r>
      <w:r>
        <w:rPr>
          <w:rFonts w:hint="eastAsia" w:ascii="仿宋_GB2312" w:eastAsia="仿宋_GB2312"/>
          <w:color w:val="auto"/>
          <w:sz w:val="32"/>
          <w:szCs w:val="32"/>
        </w:rPr>
        <w:t>根据工作需要，</w:t>
      </w:r>
      <w:r>
        <w:rPr>
          <w:rFonts w:hint="eastAsia" w:ascii="仿宋_GB2312" w:eastAsia="仿宋_GB2312"/>
          <w:color w:val="auto"/>
          <w:sz w:val="32"/>
          <w:szCs w:val="32"/>
          <w:lang w:val="en-US" w:eastAsia="zh-CN"/>
        </w:rPr>
        <w:t>新办公大楼需要购置</w:t>
      </w:r>
      <w:r>
        <w:rPr>
          <w:rFonts w:hint="eastAsia" w:ascii="仿宋_GB2312" w:eastAsia="仿宋_GB2312"/>
          <w:color w:val="auto"/>
          <w:sz w:val="32"/>
          <w:szCs w:val="32"/>
        </w:rPr>
        <w:t>办公桌椅、会议桌椅、资料货架、资料柜、档案柜等办公家具</w:t>
      </w:r>
      <w:r>
        <w:rPr>
          <w:rFonts w:hint="eastAsia" w:ascii="仿宋_GB2312" w:eastAsia="仿宋_GB2312"/>
          <w:color w:val="auto"/>
          <w:sz w:val="32"/>
          <w:szCs w:val="32"/>
          <w:lang w:val="en-US" w:eastAsia="zh-CN"/>
        </w:rPr>
        <w:t>用具以及</w:t>
      </w:r>
      <w:r>
        <w:rPr>
          <w:rFonts w:hint="eastAsia" w:ascii="仿宋_GB2312" w:eastAsia="仿宋_GB2312"/>
          <w:color w:val="auto"/>
          <w:sz w:val="32"/>
          <w:szCs w:val="32"/>
          <w:lang w:eastAsia="zh-CN"/>
        </w:rPr>
        <w:t>设备日常校准维修维护</w:t>
      </w:r>
      <w:r>
        <w:rPr>
          <w:rFonts w:hint="eastAsia" w:ascii="仿宋" w:hAnsi="仿宋" w:eastAsia="仿宋" w:cs="仿宋"/>
          <w:color w:val="auto"/>
          <w:kern w:val="0"/>
          <w:sz w:val="32"/>
          <w:szCs w:val="32"/>
        </w:rPr>
        <w:t>。</w:t>
      </w:r>
    </w:p>
    <w:p w14:paraId="5C6455B6">
      <w:pPr>
        <w:ind w:firstLine="640" w:firstLineChars="200"/>
        <w:rPr>
          <w:rFonts w:hint="eastAsia" w:ascii="仿宋" w:hAnsi="仿宋" w:eastAsia="仿宋" w:cs="仿宋"/>
          <w:color w:val="auto"/>
          <w:kern w:val="0"/>
          <w:sz w:val="32"/>
          <w:szCs w:val="32"/>
          <w:lang w:val="en-US" w:eastAsia="zh-CN"/>
        </w:rPr>
      </w:pPr>
      <w:r>
        <w:rPr>
          <w:rFonts w:hint="eastAsia" w:ascii="仿宋" w:hAnsi="仿宋" w:eastAsia="仿宋" w:cs="仿宋"/>
          <w:color w:val="auto"/>
          <w:kern w:val="0"/>
          <w:sz w:val="32"/>
          <w:szCs w:val="32"/>
        </w:rPr>
        <w:t>（6）年度预算安排。</w:t>
      </w:r>
      <w:r>
        <w:rPr>
          <w:rFonts w:hint="eastAsia" w:ascii="仿宋" w:hAnsi="仿宋" w:eastAsia="仿宋" w:cs="仿宋"/>
          <w:color w:val="auto"/>
          <w:kern w:val="0"/>
          <w:sz w:val="32"/>
          <w:szCs w:val="32"/>
          <w:lang w:val="en-US" w:eastAsia="zh-CN"/>
        </w:rPr>
        <w:t>20</w:t>
      </w:r>
      <w:r>
        <w:rPr>
          <w:rFonts w:hint="eastAsia" w:ascii="仿宋" w:hAnsi="仿宋" w:eastAsia="仿宋" w:cs="仿宋"/>
          <w:color w:val="auto"/>
          <w:kern w:val="0"/>
          <w:sz w:val="32"/>
          <w:szCs w:val="32"/>
        </w:rPr>
        <w:t>万元。</w:t>
      </w:r>
    </w:p>
    <w:p w14:paraId="2AE0747B">
      <w:pPr>
        <w:ind w:firstLine="640" w:firstLineChars="200"/>
        <w:rPr>
          <w:rFonts w:hint="eastAsia" w:ascii="仿宋" w:hAnsi="仿宋" w:eastAsia="仿宋" w:cs="仿宋"/>
          <w:color w:val="auto"/>
          <w:kern w:val="0"/>
          <w:sz w:val="32"/>
          <w:szCs w:val="32"/>
          <w:lang w:eastAsia="zh-CN"/>
        </w:rPr>
      </w:pPr>
      <w:r>
        <w:rPr>
          <w:rFonts w:hint="eastAsia" w:ascii="仿宋" w:hAnsi="仿宋" w:eastAsia="仿宋" w:cs="仿宋"/>
          <w:color w:val="auto"/>
          <w:kern w:val="0"/>
          <w:sz w:val="32"/>
          <w:szCs w:val="32"/>
        </w:rPr>
        <w:t>（7）绩效目标。用于更新老旧办公家具用具、设备并对原设备、仪器的检定校准、日常维修维护费用</w:t>
      </w:r>
      <w:r>
        <w:rPr>
          <w:rFonts w:hint="eastAsia" w:ascii="仿宋" w:hAnsi="仿宋" w:eastAsia="仿宋" w:cs="仿宋"/>
          <w:color w:val="auto"/>
          <w:kern w:val="0"/>
          <w:sz w:val="32"/>
          <w:szCs w:val="32"/>
          <w:lang w:eastAsia="zh-CN"/>
        </w:rPr>
        <w:t>。</w:t>
      </w:r>
    </w:p>
    <w:tbl>
      <w:tblPr>
        <w:tblStyle w:val="5"/>
        <w:tblW w:w="90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38"/>
        <w:gridCol w:w="723"/>
        <w:gridCol w:w="282"/>
        <w:gridCol w:w="477"/>
        <w:gridCol w:w="2872"/>
        <w:gridCol w:w="1848"/>
        <w:gridCol w:w="2380"/>
      </w:tblGrid>
      <w:tr w14:paraId="120D1C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3" w:hRule="atLeast"/>
          <w:jc w:val="center"/>
        </w:trPr>
        <w:tc>
          <w:tcPr>
            <w:tcW w:w="9020" w:type="dxa"/>
            <w:gridSpan w:val="7"/>
            <w:tcBorders>
              <w:top w:val="nil"/>
              <w:left w:val="nil"/>
              <w:bottom w:val="nil"/>
              <w:right w:val="nil"/>
            </w:tcBorders>
            <w:vAlign w:val="center"/>
          </w:tcPr>
          <w:p w14:paraId="6BF36E0C">
            <w:pPr>
              <w:widowControl/>
              <w:jc w:val="center"/>
              <w:textAlignment w:val="center"/>
              <w:rPr>
                <w:rFonts w:ascii="宋体" w:cs="宋体"/>
                <w:b/>
                <w:bCs/>
                <w:color w:val="auto"/>
                <w:szCs w:val="32"/>
              </w:rPr>
            </w:pPr>
            <w:r>
              <w:rPr>
                <w:rFonts w:hint="eastAsia" w:ascii="宋体" w:hAnsi="宋体" w:eastAsia="宋体" w:cs="宋体"/>
                <w:b/>
                <w:color w:val="auto"/>
                <w:kern w:val="0"/>
                <w:sz w:val="28"/>
                <w:szCs w:val="28"/>
              </w:rPr>
              <w:t>项目支出绩效目标表</w:t>
            </w:r>
          </w:p>
        </w:tc>
      </w:tr>
      <w:tr w14:paraId="4AC970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9020" w:type="dxa"/>
            <w:gridSpan w:val="7"/>
            <w:tcBorders>
              <w:top w:val="nil"/>
              <w:left w:val="nil"/>
              <w:right w:val="nil"/>
            </w:tcBorders>
            <w:vAlign w:val="center"/>
          </w:tcPr>
          <w:p w14:paraId="6A0623F9">
            <w:pPr>
              <w:widowControl/>
              <w:jc w:val="center"/>
              <w:textAlignment w:val="center"/>
              <w:rPr>
                <w:rFonts w:ascii="宋体" w:cs="宋体"/>
                <w:color w:val="auto"/>
                <w:sz w:val="20"/>
              </w:rPr>
            </w:pPr>
            <w:r>
              <w:rPr>
                <w:rFonts w:hint="eastAsia" w:ascii="宋体" w:hAnsi="宋体" w:eastAsia="宋体" w:cs="宋体"/>
                <w:color w:val="auto"/>
                <w:kern w:val="0"/>
                <w:sz w:val="20"/>
                <w:szCs w:val="20"/>
              </w:rPr>
              <w:t xml:space="preserve"> （2025年度）                                </w:t>
            </w:r>
          </w:p>
        </w:tc>
      </w:tr>
      <w:tr w14:paraId="21D9F2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jc w:val="center"/>
        </w:trPr>
        <w:tc>
          <w:tcPr>
            <w:tcW w:w="1443" w:type="dxa"/>
            <w:gridSpan w:val="3"/>
            <w:tcBorders>
              <w:tl2br w:val="nil"/>
              <w:tr2bl w:val="nil"/>
            </w:tcBorders>
            <w:vAlign w:val="center"/>
          </w:tcPr>
          <w:p w14:paraId="51C3F042">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ascii="宋体" w:cs="宋体"/>
                <w:color w:val="auto"/>
                <w:kern w:val="0"/>
                <w:sz w:val="20"/>
                <w:szCs w:val="20"/>
              </w:rPr>
            </w:pPr>
            <w:r>
              <w:rPr>
                <w:rFonts w:hint="eastAsia" w:ascii="宋体" w:hAnsi="宋体" w:eastAsia="宋体" w:cs="宋体"/>
                <w:color w:val="auto"/>
                <w:kern w:val="0"/>
                <w:sz w:val="20"/>
                <w:szCs w:val="20"/>
              </w:rPr>
              <w:t>项目名称</w:t>
            </w:r>
          </w:p>
        </w:tc>
        <w:tc>
          <w:tcPr>
            <w:tcW w:w="7577" w:type="dxa"/>
            <w:gridSpan w:val="4"/>
            <w:tcBorders>
              <w:tl2br w:val="nil"/>
              <w:tr2bl w:val="nil"/>
            </w:tcBorders>
            <w:vAlign w:val="center"/>
          </w:tcPr>
          <w:p w14:paraId="76E66DF8">
            <w:pPr>
              <w:keepNext w:val="0"/>
              <w:keepLines w:val="0"/>
              <w:pageBreakBefore w:val="0"/>
              <w:kinsoku/>
              <w:wordWrap/>
              <w:overflowPunct/>
              <w:topLinePunct w:val="0"/>
              <w:autoSpaceDE/>
              <w:autoSpaceDN/>
              <w:bidi w:val="0"/>
              <w:adjustRightInd/>
              <w:snapToGrid/>
              <w:spacing w:line="240" w:lineRule="auto"/>
              <w:jc w:val="center"/>
              <w:rPr>
                <w:rFonts w:ascii="宋体" w:cs="宋体"/>
                <w:color w:val="auto"/>
                <w:kern w:val="0"/>
                <w:sz w:val="20"/>
                <w:szCs w:val="20"/>
              </w:rPr>
            </w:pPr>
            <w:r>
              <w:rPr>
                <w:rFonts w:hint="eastAsia" w:ascii="宋体" w:cs="宋体"/>
                <w:color w:val="auto"/>
                <w:kern w:val="0"/>
                <w:sz w:val="20"/>
                <w:szCs w:val="20"/>
              </w:rPr>
              <w:t>设备购置及检定校准维修维护项目</w:t>
            </w:r>
          </w:p>
        </w:tc>
      </w:tr>
      <w:tr w14:paraId="0FBB40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1" w:hRule="atLeast"/>
          <w:jc w:val="center"/>
        </w:trPr>
        <w:tc>
          <w:tcPr>
            <w:tcW w:w="1443" w:type="dxa"/>
            <w:gridSpan w:val="3"/>
            <w:tcBorders>
              <w:tl2br w:val="nil"/>
              <w:tr2bl w:val="nil"/>
            </w:tcBorders>
            <w:vAlign w:val="center"/>
          </w:tcPr>
          <w:p w14:paraId="46725973">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ascii="宋体" w:cs="宋体"/>
                <w:color w:val="auto"/>
                <w:kern w:val="0"/>
                <w:sz w:val="20"/>
                <w:szCs w:val="20"/>
              </w:rPr>
            </w:pPr>
            <w:r>
              <w:rPr>
                <w:rFonts w:hint="eastAsia" w:ascii="宋体" w:hAnsi="宋体" w:eastAsia="宋体" w:cs="宋体"/>
                <w:color w:val="auto"/>
                <w:kern w:val="0"/>
                <w:sz w:val="20"/>
                <w:szCs w:val="20"/>
              </w:rPr>
              <w:t>主管部门   及代码</w:t>
            </w:r>
          </w:p>
        </w:tc>
        <w:tc>
          <w:tcPr>
            <w:tcW w:w="3349" w:type="dxa"/>
            <w:gridSpan w:val="2"/>
            <w:tcBorders>
              <w:tl2br w:val="nil"/>
              <w:tr2bl w:val="nil"/>
            </w:tcBorders>
            <w:vAlign w:val="center"/>
          </w:tcPr>
          <w:p w14:paraId="636A1455">
            <w:pPr>
              <w:keepNext w:val="0"/>
              <w:keepLines w:val="0"/>
              <w:pageBreakBefore w:val="0"/>
              <w:kinsoku/>
              <w:wordWrap/>
              <w:overflowPunct/>
              <w:topLinePunct w:val="0"/>
              <w:autoSpaceDE/>
              <w:autoSpaceDN/>
              <w:bidi w:val="0"/>
              <w:adjustRightInd/>
              <w:snapToGrid/>
              <w:spacing w:line="240" w:lineRule="auto"/>
              <w:jc w:val="center"/>
              <w:rPr>
                <w:rFonts w:ascii="宋体" w:cs="宋体"/>
                <w:color w:val="auto"/>
                <w:kern w:val="0"/>
                <w:sz w:val="20"/>
                <w:szCs w:val="20"/>
              </w:rPr>
            </w:pPr>
            <w:r>
              <w:rPr>
                <w:rFonts w:hint="eastAsia" w:ascii="宋体" w:hAnsi="宋体" w:eastAsia="宋体" w:cs="宋体"/>
                <w:color w:val="auto"/>
                <w:kern w:val="0"/>
                <w:sz w:val="20"/>
                <w:szCs w:val="20"/>
              </w:rPr>
              <w:t>[076]淮北市卫生健康委员会</w:t>
            </w:r>
          </w:p>
        </w:tc>
        <w:tc>
          <w:tcPr>
            <w:tcW w:w="1848" w:type="dxa"/>
            <w:tcBorders>
              <w:tl2br w:val="nil"/>
              <w:tr2bl w:val="nil"/>
            </w:tcBorders>
            <w:vAlign w:val="center"/>
          </w:tcPr>
          <w:p w14:paraId="044500B3">
            <w:pPr>
              <w:keepNext w:val="0"/>
              <w:keepLines w:val="0"/>
              <w:pageBreakBefore w:val="0"/>
              <w:widowControl/>
              <w:kinsoku/>
              <w:wordWrap/>
              <w:overflowPunct/>
              <w:topLinePunct w:val="0"/>
              <w:autoSpaceDE/>
              <w:autoSpaceDN/>
              <w:bidi w:val="0"/>
              <w:adjustRightInd/>
              <w:snapToGrid/>
              <w:spacing w:line="240" w:lineRule="auto"/>
              <w:jc w:val="center"/>
              <w:textAlignment w:val="center"/>
              <w:rPr>
                <w:color w:val="auto"/>
                <w:kern w:val="0"/>
                <w:sz w:val="20"/>
                <w:szCs w:val="20"/>
              </w:rPr>
            </w:pPr>
            <w:r>
              <w:rPr>
                <w:rFonts w:hint="eastAsia" w:ascii="宋体" w:hAnsi="宋体" w:eastAsia="宋体" w:cs="宋体"/>
                <w:color w:val="auto"/>
                <w:kern w:val="0"/>
                <w:sz w:val="20"/>
                <w:szCs w:val="20"/>
              </w:rPr>
              <w:t>实施单位</w:t>
            </w:r>
          </w:p>
        </w:tc>
        <w:tc>
          <w:tcPr>
            <w:tcW w:w="2380" w:type="dxa"/>
            <w:tcBorders>
              <w:tl2br w:val="nil"/>
              <w:tr2bl w:val="nil"/>
            </w:tcBorders>
            <w:shd w:val="clear" w:color="auto" w:fill="auto"/>
            <w:vAlign w:val="center"/>
          </w:tcPr>
          <w:p w14:paraId="59E92417">
            <w:pPr>
              <w:keepNext w:val="0"/>
              <w:keepLines w:val="0"/>
              <w:pageBreakBefore w:val="0"/>
              <w:widowControl/>
              <w:kinsoku/>
              <w:wordWrap/>
              <w:overflowPunct/>
              <w:topLinePunct w:val="0"/>
              <w:autoSpaceDE/>
              <w:autoSpaceDN/>
              <w:bidi w:val="0"/>
              <w:adjustRightInd/>
              <w:snapToGrid/>
              <w:spacing w:line="240" w:lineRule="auto"/>
              <w:jc w:val="center"/>
              <w:rPr>
                <w:rFonts w:ascii="宋体" w:hAnsi="宋体" w:eastAsia="宋体" w:cs="宋体"/>
                <w:color w:val="auto"/>
                <w:kern w:val="0"/>
                <w:sz w:val="20"/>
                <w:szCs w:val="20"/>
                <w:lang w:val="en-US" w:eastAsia="zh-CN" w:bidi="ar-SA"/>
              </w:rPr>
            </w:pPr>
            <w:r>
              <w:rPr>
                <w:rFonts w:hint="eastAsia" w:ascii="宋体" w:hAnsi="宋体" w:eastAsia="宋体" w:cs="宋体"/>
                <w:color w:val="auto"/>
                <w:kern w:val="0"/>
                <w:sz w:val="20"/>
                <w:szCs w:val="20"/>
              </w:rPr>
              <w:t>淮北市疾病预防控制中心</w:t>
            </w:r>
          </w:p>
        </w:tc>
      </w:tr>
      <w:tr w14:paraId="7FE610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jc w:val="center"/>
        </w:trPr>
        <w:tc>
          <w:tcPr>
            <w:tcW w:w="1443" w:type="dxa"/>
            <w:gridSpan w:val="3"/>
            <w:tcBorders>
              <w:tl2br w:val="nil"/>
              <w:tr2bl w:val="nil"/>
            </w:tcBorders>
            <w:vAlign w:val="center"/>
          </w:tcPr>
          <w:p w14:paraId="724FF6FA">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ascii="宋体" w:cs="宋体"/>
                <w:color w:val="auto"/>
                <w:kern w:val="0"/>
                <w:sz w:val="20"/>
                <w:szCs w:val="20"/>
              </w:rPr>
            </w:pPr>
            <w:r>
              <w:rPr>
                <w:rFonts w:hint="eastAsia" w:ascii="宋体" w:hAnsi="宋体" w:eastAsia="宋体" w:cs="宋体"/>
                <w:color w:val="auto"/>
                <w:kern w:val="0"/>
                <w:sz w:val="20"/>
                <w:szCs w:val="20"/>
              </w:rPr>
              <w:t>项目来源</w:t>
            </w:r>
          </w:p>
        </w:tc>
        <w:tc>
          <w:tcPr>
            <w:tcW w:w="3349" w:type="dxa"/>
            <w:gridSpan w:val="2"/>
            <w:tcBorders>
              <w:tl2br w:val="nil"/>
              <w:tr2bl w:val="nil"/>
            </w:tcBorders>
            <w:vAlign w:val="center"/>
          </w:tcPr>
          <w:p w14:paraId="1740EDA0">
            <w:pPr>
              <w:keepNext w:val="0"/>
              <w:keepLines w:val="0"/>
              <w:pageBreakBefore w:val="0"/>
              <w:kinsoku/>
              <w:wordWrap/>
              <w:overflowPunct/>
              <w:topLinePunct w:val="0"/>
              <w:autoSpaceDE/>
              <w:autoSpaceDN/>
              <w:bidi w:val="0"/>
              <w:adjustRightInd/>
              <w:snapToGrid/>
              <w:spacing w:line="240" w:lineRule="auto"/>
              <w:jc w:val="center"/>
              <w:rPr>
                <w:rFonts w:ascii="宋体" w:cs="宋体"/>
                <w:color w:val="auto"/>
                <w:kern w:val="0"/>
                <w:sz w:val="20"/>
                <w:szCs w:val="20"/>
              </w:rPr>
            </w:pPr>
          </w:p>
        </w:tc>
        <w:tc>
          <w:tcPr>
            <w:tcW w:w="1848" w:type="dxa"/>
            <w:tcBorders>
              <w:tl2br w:val="nil"/>
              <w:tr2bl w:val="nil"/>
            </w:tcBorders>
            <w:vAlign w:val="center"/>
          </w:tcPr>
          <w:p w14:paraId="26805285">
            <w:pPr>
              <w:keepNext w:val="0"/>
              <w:keepLines w:val="0"/>
              <w:pageBreakBefore w:val="0"/>
              <w:widowControl/>
              <w:kinsoku/>
              <w:wordWrap/>
              <w:overflowPunct/>
              <w:topLinePunct w:val="0"/>
              <w:autoSpaceDE/>
              <w:autoSpaceDN/>
              <w:bidi w:val="0"/>
              <w:adjustRightInd/>
              <w:snapToGrid/>
              <w:spacing w:line="240" w:lineRule="auto"/>
              <w:jc w:val="center"/>
              <w:textAlignment w:val="center"/>
              <w:rPr>
                <w:color w:val="auto"/>
                <w:kern w:val="0"/>
                <w:sz w:val="20"/>
                <w:szCs w:val="20"/>
              </w:rPr>
            </w:pPr>
            <w:r>
              <w:rPr>
                <w:rFonts w:hint="eastAsia" w:ascii="宋体" w:hAnsi="宋体" w:eastAsia="宋体" w:cs="宋体"/>
                <w:color w:val="auto"/>
                <w:kern w:val="0"/>
                <w:sz w:val="20"/>
                <w:szCs w:val="20"/>
              </w:rPr>
              <w:t>项目期</w:t>
            </w:r>
          </w:p>
        </w:tc>
        <w:tc>
          <w:tcPr>
            <w:tcW w:w="2380" w:type="dxa"/>
            <w:tcBorders>
              <w:tl2br w:val="nil"/>
              <w:tr2bl w:val="nil"/>
            </w:tcBorders>
            <w:shd w:val="clear" w:color="auto" w:fill="auto"/>
            <w:vAlign w:val="center"/>
          </w:tcPr>
          <w:p w14:paraId="30F4829F">
            <w:pPr>
              <w:keepNext w:val="0"/>
              <w:keepLines w:val="0"/>
              <w:pageBreakBefore w:val="0"/>
              <w:widowControl/>
              <w:kinsoku/>
              <w:wordWrap/>
              <w:overflowPunct/>
              <w:topLinePunct w:val="0"/>
              <w:autoSpaceDE/>
              <w:autoSpaceDN/>
              <w:bidi w:val="0"/>
              <w:adjustRightInd/>
              <w:snapToGrid/>
              <w:spacing w:line="240" w:lineRule="auto"/>
              <w:jc w:val="center"/>
              <w:rPr>
                <w:rFonts w:ascii="宋体" w:hAnsi="宋体" w:eastAsia="宋体" w:cs="宋体"/>
                <w:color w:val="auto"/>
                <w:kern w:val="0"/>
                <w:sz w:val="20"/>
                <w:szCs w:val="20"/>
                <w:lang w:val="en-US" w:eastAsia="zh-CN" w:bidi="ar-SA"/>
              </w:rPr>
            </w:pPr>
            <w:r>
              <w:rPr>
                <w:rFonts w:hint="eastAsia" w:ascii="宋体" w:hAnsi="宋体" w:eastAsia="宋体" w:cs="宋体"/>
                <w:color w:val="auto"/>
                <w:kern w:val="0"/>
                <w:sz w:val="20"/>
                <w:szCs w:val="20"/>
              </w:rPr>
              <w:t>1年</w:t>
            </w:r>
          </w:p>
        </w:tc>
      </w:tr>
      <w:tr w14:paraId="2D660A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jc w:val="center"/>
        </w:trPr>
        <w:tc>
          <w:tcPr>
            <w:tcW w:w="1443" w:type="dxa"/>
            <w:gridSpan w:val="3"/>
            <w:vMerge w:val="restart"/>
            <w:tcBorders>
              <w:tl2br w:val="nil"/>
              <w:tr2bl w:val="nil"/>
            </w:tcBorders>
            <w:vAlign w:val="center"/>
          </w:tcPr>
          <w:p w14:paraId="79FCE431">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ascii="宋体" w:cs="宋体"/>
                <w:color w:val="auto"/>
                <w:kern w:val="0"/>
                <w:sz w:val="20"/>
                <w:szCs w:val="20"/>
              </w:rPr>
            </w:pPr>
            <w:r>
              <w:rPr>
                <w:rFonts w:hint="eastAsia" w:ascii="宋体" w:hAnsi="宋体" w:eastAsia="宋体" w:cs="宋体"/>
                <w:color w:val="auto"/>
                <w:kern w:val="0"/>
                <w:sz w:val="20"/>
                <w:szCs w:val="20"/>
              </w:rPr>
              <w:t>项目资金</w:t>
            </w:r>
            <w:r>
              <w:rPr>
                <w:rFonts w:hint="eastAsia" w:ascii="宋体" w:hAnsi="宋体" w:eastAsia="宋体" w:cs="宋体"/>
                <w:color w:val="auto"/>
                <w:kern w:val="0"/>
                <w:sz w:val="20"/>
                <w:szCs w:val="20"/>
              </w:rPr>
              <w:br w:type="textWrapping"/>
            </w:r>
            <w:r>
              <w:rPr>
                <w:rFonts w:hint="eastAsia" w:ascii="宋体" w:hAnsi="宋体" w:eastAsia="宋体" w:cs="宋体"/>
                <w:color w:val="auto"/>
                <w:kern w:val="0"/>
                <w:sz w:val="20"/>
                <w:szCs w:val="20"/>
              </w:rPr>
              <w:t>（万元）</w:t>
            </w:r>
          </w:p>
        </w:tc>
        <w:tc>
          <w:tcPr>
            <w:tcW w:w="3349" w:type="dxa"/>
            <w:gridSpan w:val="2"/>
            <w:tcBorders>
              <w:tl2br w:val="nil"/>
              <w:tr2bl w:val="nil"/>
            </w:tcBorders>
            <w:vAlign w:val="center"/>
          </w:tcPr>
          <w:p w14:paraId="373AEE48">
            <w:pPr>
              <w:keepNext w:val="0"/>
              <w:keepLines w:val="0"/>
              <w:pageBreakBefore w:val="0"/>
              <w:widowControl/>
              <w:kinsoku/>
              <w:wordWrap/>
              <w:overflowPunct/>
              <w:topLinePunct w:val="0"/>
              <w:autoSpaceDE/>
              <w:autoSpaceDN/>
              <w:bidi w:val="0"/>
              <w:adjustRightInd/>
              <w:snapToGrid/>
              <w:spacing w:line="240" w:lineRule="auto"/>
              <w:jc w:val="left"/>
              <w:textAlignment w:val="center"/>
              <w:rPr>
                <w:rFonts w:ascii="宋体" w:cs="宋体"/>
                <w:color w:val="auto"/>
                <w:kern w:val="0"/>
                <w:sz w:val="20"/>
                <w:szCs w:val="20"/>
              </w:rPr>
            </w:pPr>
            <w:r>
              <w:rPr>
                <w:rFonts w:hint="eastAsia" w:ascii="宋体" w:hAnsi="宋体" w:eastAsia="宋体" w:cs="宋体"/>
                <w:color w:val="auto"/>
                <w:kern w:val="0"/>
                <w:sz w:val="20"/>
                <w:szCs w:val="20"/>
              </w:rPr>
              <w:t xml:space="preserve"> 年度资金总额：</w:t>
            </w:r>
          </w:p>
        </w:tc>
        <w:tc>
          <w:tcPr>
            <w:tcW w:w="4228" w:type="dxa"/>
            <w:gridSpan w:val="2"/>
            <w:tcBorders>
              <w:tl2br w:val="nil"/>
              <w:tr2bl w:val="nil"/>
            </w:tcBorders>
            <w:shd w:val="clear" w:color="auto" w:fill="auto"/>
            <w:vAlign w:val="center"/>
          </w:tcPr>
          <w:p w14:paraId="0D47F4A9">
            <w:pPr>
              <w:keepNext w:val="0"/>
              <w:keepLines w:val="0"/>
              <w:pageBreakBefore w:val="0"/>
              <w:widowControl/>
              <w:kinsoku/>
              <w:wordWrap/>
              <w:overflowPunct/>
              <w:topLinePunct w:val="0"/>
              <w:autoSpaceDE/>
              <w:autoSpaceDN/>
              <w:bidi w:val="0"/>
              <w:adjustRightInd/>
              <w:snapToGrid/>
              <w:spacing w:line="240" w:lineRule="auto"/>
              <w:jc w:val="right"/>
              <w:rPr>
                <w:rFonts w:hint="default" w:ascii="宋体" w:hAnsi="宋体" w:eastAsia="宋体" w:cs="宋体"/>
                <w:color w:val="auto"/>
                <w:kern w:val="0"/>
                <w:sz w:val="20"/>
                <w:szCs w:val="20"/>
                <w:lang w:val="en-US" w:eastAsia="zh-CN" w:bidi="ar-SA"/>
              </w:rPr>
            </w:pPr>
            <w:r>
              <w:rPr>
                <w:rFonts w:hint="eastAsia" w:ascii="宋体" w:hAnsi="宋体" w:eastAsia="宋体" w:cs="宋体"/>
                <w:color w:val="auto"/>
                <w:kern w:val="0"/>
                <w:sz w:val="20"/>
                <w:szCs w:val="20"/>
                <w:lang w:val="en-US" w:eastAsia="zh-CN" w:bidi="ar-SA"/>
              </w:rPr>
              <w:t>20.00</w:t>
            </w:r>
          </w:p>
        </w:tc>
      </w:tr>
      <w:tr w14:paraId="7D9F2E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jc w:val="center"/>
        </w:trPr>
        <w:tc>
          <w:tcPr>
            <w:tcW w:w="1443" w:type="dxa"/>
            <w:gridSpan w:val="3"/>
            <w:vMerge w:val="continue"/>
            <w:tcBorders>
              <w:tl2br w:val="nil"/>
              <w:tr2bl w:val="nil"/>
            </w:tcBorders>
            <w:vAlign w:val="center"/>
          </w:tcPr>
          <w:p w14:paraId="010FFA57">
            <w:pPr>
              <w:keepNext w:val="0"/>
              <w:keepLines w:val="0"/>
              <w:pageBreakBefore w:val="0"/>
              <w:kinsoku/>
              <w:wordWrap/>
              <w:overflowPunct/>
              <w:topLinePunct w:val="0"/>
              <w:autoSpaceDE/>
              <w:autoSpaceDN/>
              <w:bidi w:val="0"/>
              <w:adjustRightInd/>
              <w:snapToGrid/>
              <w:spacing w:line="240" w:lineRule="auto"/>
              <w:jc w:val="center"/>
              <w:rPr>
                <w:rFonts w:ascii="宋体" w:cs="宋体"/>
                <w:color w:val="auto"/>
                <w:kern w:val="0"/>
                <w:sz w:val="20"/>
                <w:szCs w:val="20"/>
              </w:rPr>
            </w:pPr>
          </w:p>
        </w:tc>
        <w:tc>
          <w:tcPr>
            <w:tcW w:w="3349" w:type="dxa"/>
            <w:gridSpan w:val="2"/>
            <w:tcBorders>
              <w:tl2br w:val="nil"/>
              <w:tr2bl w:val="nil"/>
            </w:tcBorders>
            <w:vAlign w:val="center"/>
          </w:tcPr>
          <w:p w14:paraId="0392D81D">
            <w:pPr>
              <w:keepNext w:val="0"/>
              <w:keepLines w:val="0"/>
              <w:pageBreakBefore w:val="0"/>
              <w:widowControl/>
              <w:kinsoku/>
              <w:wordWrap/>
              <w:overflowPunct/>
              <w:topLinePunct w:val="0"/>
              <w:autoSpaceDE/>
              <w:autoSpaceDN/>
              <w:bidi w:val="0"/>
              <w:adjustRightInd/>
              <w:snapToGrid/>
              <w:spacing w:line="240" w:lineRule="auto"/>
              <w:jc w:val="left"/>
              <w:textAlignment w:val="center"/>
              <w:rPr>
                <w:rFonts w:ascii="宋体" w:cs="宋体"/>
                <w:color w:val="auto"/>
                <w:kern w:val="0"/>
                <w:sz w:val="20"/>
                <w:szCs w:val="20"/>
              </w:rPr>
            </w:pPr>
            <w:r>
              <w:rPr>
                <w:rFonts w:hint="eastAsia" w:ascii="宋体" w:hAnsi="宋体" w:eastAsia="宋体" w:cs="宋体"/>
                <w:color w:val="auto"/>
                <w:kern w:val="0"/>
                <w:sz w:val="20"/>
                <w:szCs w:val="20"/>
              </w:rPr>
              <w:t xml:space="preserve">   其中：财政拨款</w:t>
            </w:r>
          </w:p>
        </w:tc>
        <w:tc>
          <w:tcPr>
            <w:tcW w:w="4228" w:type="dxa"/>
            <w:gridSpan w:val="2"/>
            <w:tcBorders>
              <w:tl2br w:val="nil"/>
              <w:tr2bl w:val="nil"/>
            </w:tcBorders>
            <w:shd w:val="clear" w:color="auto" w:fill="auto"/>
            <w:vAlign w:val="center"/>
          </w:tcPr>
          <w:p w14:paraId="47616FB1">
            <w:pPr>
              <w:keepNext w:val="0"/>
              <w:keepLines w:val="0"/>
              <w:pageBreakBefore w:val="0"/>
              <w:widowControl/>
              <w:kinsoku/>
              <w:wordWrap/>
              <w:overflowPunct/>
              <w:topLinePunct w:val="0"/>
              <w:autoSpaceDE/>
              <w:autoSpaceDN/>
              <w:bidi w:val="0"/>
              <w:adjustRightInd/>
              <w:snapToGrid/>
              <w:spacing w:line="240" w:lineRule="auto"/>
              <w:jc w:val="right"/>
              <w:rPr>
                <w:rFonts w:hint="default" w:ascii="宋体" w:hAnsi="宋体" w:eastAsia="宋体" w:cs="宋体"/>
                <w:color w:val="auto"/>
                <w:kern w:val="0"/>
                <w:sz w:val="20"/>
                <w:szCs w:val="20"/>
                <w:lang w:val="en-US" w:eastAsia="zh-CN" w:bidi="ar-SA"/>
              </w:rPr>
            </w:pPr>
            <w:r>
              <w:rPr>
                <w:rFonts w:hint="eastAsia" w:ascii="宋体" w:hAnsi="宋体" w:eastAsia="宋体" w:cs="宋体"/>
                <w:color w:val="auto"/>
                <w:kern w:val="0"/>
                <w:sz w:val="20"/>
                <w:szCs w:val="20"/>
                <w:lang w:val="en-US" w:eastAsia="zh-CN" w:bidi="ar-SA"/>
              </w:rPr>
              <w:t>20.00</w:t>
            </w:r>
          </w:p>
        </w:tc>
      </w:tr>
      <w:tr w14:paraId="07DC35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jc w:val="center"/>
        </w:trPr>
        <w:tc>
          <w:tcPr>
            <w:tcW w:w="1443" w:type="dxa"/>
            <w:gridSpan w:val="3"/>
            <w:vMerge w:val="continue"/>
            <w:tcBorders>
              <w:tl2br w:val="nil"/>
              <w:tr2bl w:val="nil"/>
            </w:tcBorders>
            <w:vAlign w:val="center"/>
          </w:tcPr>
          <w:p w14:paraId="6C273A67">
            <w:pPr>
              <w:keepNext w:val="0"/>
              <w:keepLines w:val="0"/>
              <w:pageBreakBefore w:val="0"/>
              <w:kinsoku/>
              <w:wordWrap/>
              <w:overflowPunct/>
              <w:topLinePunct w:val="0"/>
              <w:autoSpaceDE/>
              <w:autoSpaceDN/>
              <w:bidi w:val="0"/>
              <w:adjustRightInd/>
              <w:snapToGrid/>
              <w:spacing w:line="240" w:lineRule="auto"/>
              <w:jc w:val="center"/>
              <w:rPr>
                <w:rFonts w:ascii="宋体" w:cs="宋体"/>
                <w:color w:val="auto"/>
                <w:kern w:val="0"/>
                <w:sz w:val="20"/>
                <w:szCs w:val="20"/>
              </w:rPr>
            </w:pPr>
          </w:p>
        </w:tc>
        <w:tc>
          <w:tcPr>
            <w:tcW w:w="3349" w:type="dxa"/>
            <w:gridSpan w:val="2"/>
            <w:tcBorders>
              <w:tl2br w:val="nil"/>
              <w:tr2bl w:val="nil"/>
            </w:tcBorders>
            <w:vAlign w:val="center"/>
          </w:tcPr>
          <w:p w14:paraId="5CD8CF6D">
            <w:pPr>
              <w:keepNext w:val="0"/>
              <w:keepLines w:val="0"/>
              <w:pageBreakBefore w:val="0"/>
              <w:widowControl/>
              <w:kinsoku/>
              <w:wordWrap/>
              <w:overflowPunct/>
              <w:topLinePunct w:val="0"/>
              <w:autoSpaceDE/>
              <w:autoSpaceDN/>
              <w:bidi w:val="0"/>
              <w:adjustRightInd/>
              <w:snapToGrid/>
              <w:spacing w:line="240" w:lineRule="auto"/>
              <w:jc w:val="left"/>
              <w:textAlignment w:val="center"/>
              <w:rPr>
                <w:rFonts w:ascii="宋体" w:cs="宋体"/>
                <w:color w:val="auto"/>
                <w:kern w:val="0"/>
                <w:sz w:val="20"/>
                <w:szCs w:val="20"/>
              </w:rPr>
            </w:pPr>
            <w:r>
              <w:rPr>
                <w:rFonts w:hint="eastAsia" w:ascii="宋体" w:hAnsi="宋体" w:eastAsia="宋体" w:cs="宋体"/>
                <w:color w:val="auto"/>
                <w:kern w:val="0"/>
                <w:sz w:val="20"/>
                <w:szCs w:val="20"/>
              </w:rPr>
              <w:t xml:space="preserve">         上年结转</w:t>
            </w:r>
          </w:p>
        </w:tc>
        <w:tc>
          <w:tcPr>
            <w:tcW w:w="4228" w:type="dxa"/>
            <w:gridSpan w:val="2"/>
            <w:tcBorders>
              <w:tl2br w:val="nil"/>
              <w:tr2bl w:val="nil"/>
            </w:tcBorders>
            <w:shd w:val="clear" w:color="auto" w:fill="auto"/>
            <w:vAlign w:val="center"/>
          </w:tcPr>
          <w:p w14:paraId="7AE118D9">
            <w:pPr>
              <w:keepNext w:val="0"/>
              <w:keepLines w:val="0"/>
              <w:pageBreakBefore w:val="0"/>
              <w:widowControl/>
              <w:kinsoku/>
              <w:wordWrap/>
              <w:overflowPunct/>
              <w:topLinePunct w:val="0"/>
              <w:autoSpaceDE/>
              <w:autoSpaceDN/>
              <w:bidi w:val="0"/>
              <w:adjustRightInd/>
              <w:snapToGrid/>
              <w:spacing w:line="240" w:lineRule="auto"/>
              <w:jc w:val="right"/>
              <w:rPr>
                <w:rFonts w:ascii="宋体" w:hAnsi="宋体" w:eastAsia="宋体" w:cs="宋体"/>
                <w:color w:val="auto"/>
                <w:kern w:val="0"/>
                <w:sz w:val="20"/>
                <w:szCs w:val="20"/>
                <w:lang w:val="en-US" w:eastAsia="zh-CN" w:bidi="ar-SA"/>
              </w:rPr>
            </w:pPr>
            <w:r>
              <w:rPr>
                <w:rFonts w:hint="eastAsia" w:ascii="宋体" w:hAnsi="宋体" w:eastAsia="宋体" w:cs="宋体"/>
                <w:color w:val="auto"/>
                <w:kern w:val="0"/>
                <w:sz w:val="20"/>
                <w:szCs w:val="20"/>
              </w:rPr>
              <w:t xml:space="preserve">      0.00 </w:t>
            </w:r>
          </w:p>
        </w:tc>
      </w:tr>
      <w:tr w14:paraId="7259C5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jc w:val="center"/>
        </w:trPr>
        <w:tc>
          <w:tcPr>
            <w:tcW w:w="1443" w:type="dxa"/>
            <w:gridSpan w:val="3"/>
            <w:vMerge w:val="continue"/>
            <w:tcBorders>
              <w:tl2br w:val="nil"/>
              <w:tr2bl w:val="nil"/>
            </w:tcBorders>
            <w:vAlign w:val="center"/>
          </w:tcPr>
          <w:p w14:paraId="5B384E58">
            <w:pPr>
              <w:keepNext w:val="0"/>
              <w:keepLines w:val="0"/>
              <w:pageBreakBefore w:val="0"/>
              <w:kinsoku/>
              <w:wordWrap/>
              <w:overflowPunct/>
              <w:topLinePunct w:val="0"/>
              <w:autoSpaceDE/>
              <w:autoSpaceDN/>
              <w:bidi w:val="0"/>
              <w:adjustRightInd/>
              <w:snapToGrid/>
              <w:spacing w:line="240" w:lineRule="auto"/>
              <w:jc w:val="center"/>
              <w:rPr>
                <w:rFonts w:ascii="宋体" w:cs="宋体"/>
                <w:color w:val="auto"/>
                <w:kern w:val="0"/>
                <w:sz w:val="20"/>
                <w:szCs w:val="20"/>
              </w:rPr>
            </w:pPr>
          </w:p>
        </w:tc>
        <w:tc>
          <w:tcPr>
            <w:tcW w:w="3349" w:type="dxa"/>
            <w:gridSpan w:val="2"/>
            <w:tcBorders>
              <w:tl2br w:val="nil"/>
              <w:tr2bl w:val="nil"/>
            </w:tcBorders>
            <w:vAlign w:val="center"/>
          </w:tcPr>
          <w:p w14:paraId="62F803CD">
            <w:pPr>
              <w:keepNext w:val="0"/>
              <w:keepLines w:val="0"/>
              <w:pageBreakBefore w:val="0"/>
              <w:widowControl/>
              <w:kinsoku/>
              <w:wordWrap/>
              <w:overflowPunct/>
              <w:topLinePunct w:val="0"/>
              <w:autoSpaceDE/>
              <w:autoSpaceDN/>
              <w:bidi w:val="0"/>
              <w:adjustRightInd/>
              <w:snapToGrid/>
              <w:spacing w:line="240" w:lineRule="auto"/>
              <w:jc w:val="left"/>
              <w:textAlignment w:val="center"/>
              <w:rPr>
                <w:rFonts w:ascii="宋体" w:cs="宋体"/>
                <w:color w:val="auto"/>
                <w:kern w:val="0"/>
                <w:sz w:val="20"/>
                <w:szCs w:val="20"/>
              </w:rPr>
            </w:pPr>
            <w:r>
              <w:rPr>
                <w:rFonts w:hint="eastAsia" w:ascii="宋体" w:hAnsi="宋体" w:eastAsia="宋体" w:cs="宋体"/>
                <w:color w:val="auto"/>
                <w:kern w:val="0"/>
                <w:sz w:val="20"/>
                <w:szCs w:val="20"/>
              </w:rPr>
              <w:t xml:space="preserve">         其他资金</w:t>
            </w:r>
          </w:p>
        </w:tc>
        <w:tc>
          <w:tcPr>
            <w:tcW w:w="4228" w:type="dxa"/>
            <w:gridSpan w:val="2"/>
            <w:tcBorders>
              <w:tl2br w:val="nil"/>
              <w:tr2bl w:val="nil"/>
            </w:tcBorders>
            <w:vAlign w:val="center"/>
          </w:tcPr>
          <w:p w14:paraId="7664535D">
            <w:pPr>
              <w:keepNext w:val="0"/>
              <w:keepLines w:val="0"/>
              <w:pageBreakBefore w:val="0"/>
              <w:kinsoku/>
              <w:wordWrap/>
              <w:overflowPunct/>
              <w:topLinePunct w:val="0"/>
              <w:autoSpaceDE/>
              <w:autoSpaceDN/>
              <w:bidi w:val="0"/>
              <w:adjustRightInd/>
              <w:snapToGrid/>
              <w:spacing w:line="240" w:lineRule="auto"/>
              <w:jc w:val="right"/>
              <w:rPr>
                <w:rFonts w:hint="default" w:ascii="宋体" w:cs="宋体" w:eastAsiaTheme="minorEastAsia"/>
                <w:color w:val="auto"/>
                <w:kern w:val="0"/>
                <w:sz w:val="20"/>
                <w:szCs w:val="20"/>
                <w:lang w:val="en-US" w:eastAsia="zh-CN"/>
              </w:rPr>
            </w:pPr>
            <w:r>
              <w:rPr>
                <w:rFonts w:hint="eastAsia" w:ascii="宋体" w:hAnsi="宋体" w:eastAsia="宋体" w:cs="宋体"/>
                <w:color w:val="auto"/>
                <w:kern w:val="0"/>
                <w:sz w:val="20"/>
                <w:szCs w:val="20"/>
              </w:rPr>
              <w:t>0.00</w:t>
            </w:r>
          </w:p>
        </w:tc>
      </w:tr>
      <w:tr w14:paraId="0C7B36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5" w:hRule="atLeast"/>
          <w:jc w:val="center"/>
        </w:trPr>
        <w:tc>
          <w:tcPr>
            <w:tcW w:w="438" w:type="dxa"/>
            <w:tcBorders>
              <w:tl2br w:val="nil"/>
              <w:tr2bl w:val="nil"/>
            </w:tcBorders>
            <w:vAlign w:val="center"/>
          </w:tcPr>
          <w:p w14:paraId="756E3084">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ascii="宋体" w:cs="宋体"/>
                <w:color w:val="auto"/>
                <w:kern w:val="0"/>
                <w:sz w:val="20"/>
                <w:szCs w:val="20"/>
              </w:rPr>
            </w:pPr>
            <w:r>
              <w:rPr>
                <w:rFonts w:hint="eastAsia" w:ascii="宋体" w:hAnsi="宋体" w:eastAsia="宋体" w:cs="宋体"/>
                <w:color w:val="auto"/>
                <w:kern w:val="0"/>
                <w:sz w:val="20"/>
                <w:szCs w:val="20"/>
              </w:rPr>
              <w:t>年度</w:t>
            </w:r>
            <w:r>
              <w:rPr>
                <w:rFonts w:hint="eastAsia" w:ascii="宋体" w:hAnsi="宋体" w:eastAsia="宋体" w:cs="宋体"/>
                <w:color w:val="auto"/>
                <w:kern w:val="0"/>
                <w:sz w:val="20"/>
                <w:szCs w:val="20"/>
              </w:rPr>
              <w:br w:type="textWrapping"/>
            </w:r>
            <w:r>
              <w:rPr>
                <w:rFonts w:hint="eastAsia" w:ascii="宋体" w:hAnsi="宋体" w:eastAsia="宋体" w:cs="宋体"/>
                <w:color w:val="auto"/>
                <w:kern w:val="0"/>
                <w:sz w:val="20"/>
                <w:szCs w:val="20"/>
              </w:rPr>
              <w:t>目标</w:t>
            </w:r>
          </w:p>
        </w:tc>
        <w:tc>
          <w:tcPr>
            <w:tcW w:w="8582" w:type="dxa"/>
            <w:gridSpan w:val="6"/>
            <w:tcBorders>
              <w:tl2br w:val="nil"/>
              <w:tr2bl w:val="nil"/>
            </w:tcBorders>
            <w:vAlign w:val="center"/>
          </w:tcPr>
          <w:p w14:paraId="55A174FF">
            <w:pPr>
              <w:keepNext w:val="0"/>
              <w:keepLines w:val="0"/>
              <w:pageBreakBefore w:val="0"/>
              <w:kinsoku/>
              <w:wordWrap/>
              <w:overflowPunct/>
              <w:topLinePunct w:val="0"/>
              <w:autoSpaceDE/>
              <w:autoSpaceDN/>
              <w:bidi w:val="0"/>
              <w:adjustRightInd/>
              <w:snapToGrid/>
              <w:spacing w:line="240" w:lineRule="auto"/>
              <w:jc w:val="left"/>
              <w:rPr>
                <w:rFonts w:hint="eastAsia" w:ascii="宋体" w:cs="宋体" w:eastAsiaTheme="minorEastAsia"/>
                <w:color w:val="auto"/>
                <w:kern w:val="0"/>
                <w:sz w:val="20"/>
                <w:szCs w:val="20"/>
                <w:lang w:eastAsia="zh-CN"/>
              </w:rPr>
            </w:pPr>
            <w:r>
              <w:rPr>
                <w:rFonts w:hint="eastAsia" w:ascii="宋体" w:cs="宋体"/>
                <w:color w:val="auto"/>
                <w:kern w:val="0"/>
                <w:sz w:val="20"/>
                <w:szCs w:val="20"/>
              </w:rPr>
              <w:t>用于更新老旧办公家具用具、设备并对原设备、仪器的检定校准、日常维修维护费用</w:t>
            </w:r>
            <w:r>
              <w:rPr>
                <w:rFonts w:hint="eastAsia" w:ascii="宋体" w:cs="宋体"/>
                <w:color w:val="auto"/>
                <w:kern w:val="0"/>
                <w:sz w:val="20"/>
                <w:szCs w:val="20"/>
                <w:lang w:eastAsia="zh-CN"/>
              </w:rPr>
              <w:t>。</w:t>
            </w:r>
          </w:p>
        </w:tc>
      </w:tr>
      <w:tr w14:paraId="4E700C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8" w:hRule="atLeast"/>
          <w:jc w:val="center"/>
        </w:trPr>
        <w:tc>
          <w:tcPr>
            <w:tcW w:w="438" w:type="dxa"/>
            <w:vMerge w:val="restart"/>
            <w:tcBorders>
              <w:tl2br w:val="nil"/>
              <w:tr2bl w:val="nil"/>
            </w:tcBorders>
            <w:vAlign w:val="center"/>
          </w:tcPr>
          <w:p w14:paraId="0DF1F93D">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ascii="宋体" w:cs="宋体"/>
                <w:color w:val="auto"/>
                <w:kern w:val="0"/>
                <w:sz w:val="20"/>
                <w:szCs w:val="20"/>
              </w:rPr>
            </w:pPr>
            <w:r>
              <w:rPr>
                <w:rFonts w:hint="eastAsia" w:ascii="宋体" w:hAnsi="宋体" w:eastAsia="宋体" w:cs="宋体"/>
                <w:color w:val="auto"/>
                <w:kern w:val="0"/>
                <w:sz w:val="20"/>
                <w:szCs w:val="20"/>
              </w:rPr>
              <w:t>绩</w:t>
            </w:r>
            <w:r>
              <w:rPr>
                <w:rFonts w:hint="eastAsia" w:ascii="宋体" w:hAnsi="宋体" w:eastAsia="宋体" w:cs="宋体"/>
                <w:color w:val="auto"/>
                <w:kern w:val="0"/>
                <w:sz w:val="20"/>
                <w:szCs w:val="20"/>
              </w:rPr>
              <w:br w:type="textWrapping"/>
            </w:r>
            <w:r>
              <w:rPr>
                <w:rFonts w:hint="eastAsia" w:ascii="宋体" w:hAnsi="宋体" w:eastAsia="宋体" w:cs="宋体"/>
                <w:color w:val="auto"/>
                <w:kern w:val="0"/>
                <w:sz w:val="20"/>
                <w:szCs w:val="20"/>
              </w:rPr>
              <w:t>效</w:t>
            </w:r>
            <w:r>
              <w:rPr>
                <w:rFonts w:hint="eastAsia" w:ascii="宋体" w:hAnsi="宋体" w:eastAsia="宋体" w:cs="宋体"/>
                <w:color w:val="auto"/>
                <w:kern w:val="0"/>
                <w:sz w:val="20"/>
                <w:szCs w:val="20"/>
              </w:rPr>
              <w:br w:type="textWrapping"/>
            </w:r>
            <w:r>
              <w:rPr>
                <w:rFonts w:hint="eastAsia" w:ascii="宋体" w:hAnsi="宋体" w:eastAsia="宋体" w:cs="宋体"/>
                <w:color w:val="auto"/>
                <w:kern w:val="0"/>
                <w:sz w:val="20"/>
                <w:szCs w:val="20"/>
              </w:rPr>
              <w:t>指</w:t>
            </w:r>
            <w:r>
              <w:rPr>
                <w:rFonts w:hint="eastAsia" w:ascii="宋体" w:hAnsi="宋体" w:eastAsia="宋体" w:cs="宋体"/>
                <w:color w:val="auto"/>
                <w:kern w:val="0"/>
                <w:sz w:val="20"/>
                <w:szCs w:val="20"/>
              </w:rPr>
              <w:br w:type="textWrapping"/>
            </w:r>
            <w:r>
              <w:rPr>
                <w:rFonts w:hint="eastAsia" w:ascii="宋体" w:hAnsi="宋体" w:eastAsia="宋体" w:cs="宋体"/>
                <w:color w:val="auto"/>
                <w:kern w:val="0"/>
                <w:sz w:val="20"/>
                <w:szCs w:val="20"/>
              </w:rPr>
              <w:t>标</w:t>
            </w:r>
          </w:p>
        </w:tc>
        <w:tc>
          <w:tcPr>
            <w:tcW w:w="723" w:type="dxa"/>
            <w:tcBorders>
              <w:tl2br w:val="nil"/>
              <w:tr2bl w:val="nil"/>
            </w:tcBorders>
            <w:vAlign w:val="center"/>
          </w:tcPr>
          <w:p w14:paraId="62C60681">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ascii="宋体" w:cs="宋体"/>
                <w:color w:val="auto"/>
                <w:kern w:val="0"/>
                <w:sz w:val="20"/>
                <w:szCs w:val="20"/>
              </w:rPr>
            </w:pPr>
            <w:r>
              <w:rPr>
                <w:rFonts w:hint="eastAsia" w:ascii="宋体" w:hAnsi="宋体" w:eastAsia="宋体" w:cs="宋体"/>
                <w:color w:val="auto"/>
                <w:kern w:val="0"/>
                <w:sz w:val="20"/>
                <w:szCs w:val="20"/>
              </w:rPr>
              <w:t>一级</w:t>
            </w:r>
            <w:r>
              <w:rPr>
                <w:rFonts w:hint="eastAsia" w:ascii="宋体" w:hAnsi="宋体" w:eastAsia="宋体" w:cs="宋体"/>
                <w:color w:val="auto"/>
                <w:kern w:val="0"/>
                <w:sz w:val="20"/>
                <w:szCs w:val="20"/>
              </w:rPr>
              <w:br w:type="textWrapping"/>
            </w:r>
            <w:r>
              <w:rPr>
                <w:rFonts w:hint="eastAsia" w:ascii="宋体" w:hAnsi="宋体" w:eastAsia="宋体" w:cs="宋体"/>
                <w:color w:val="auto"/>
                <w:kern w:val="0"/>
                <w:sz w:val="20"/>
                <w:szCs w:val="20"/>
              </w:rPr>
              <w:t>指标</w:t>
            </w:r>
          </w:p>
        </w:tc>
        <w:tc>
          <w:tcPr>
            <w:tcW w:w="759" w:type="dxa"/>
            <w:gridSpan w:val="2"/>
            <w:tcBorders>
              <w:tl2br w:val="nil"/>
              <w:tr2bl w:val="nil"/>
            </w:tcBorders>
            <w:vAlign w:val="center"/>
          </w:tcPr>
          <w:p w14:paraId="72DF593A">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ascii="宋体" w:cs="宋体"/>
                <w:color w:val="auto"/>
                <w:kern w:val="0"/>
                <w:sz w:val="20"/>
                <w:szCs w:val="20"/>
              </w:rPr>
            </w:pPr>
            <w:r>
              <w:rPr>
                <w:rFonts w:hint="eastAsia" w:ascii="宋体" w:hAnsi="宋体" w:eastAsia="宋体" w:cs="宋体"/>
                <w:color w:val="auto"/>
                <w:kern w:val="0"/>
                <w:sz w:val="20"/>
                <w:szCs w:val="20"/>
              </w:rPr>
              <w:t>二级指标</w:t>
            </w:r>
          </w:p>
        </w:tc>
        <w:tc>
          <w:tcPr>
            <w:tcW w:w="2872" w:type="dxa"/>
            <w:tcBorders>
              <w:tl2br w:val="nil"/>
              <w:tr2bl w:val="nil"/>
            </w:tcBorders>
            <w:vAlign w:val="center"/>
          </w:tcPr>
          <w:p w14:paraId="4124E2DC">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ascii="宋体" w:cs="宋体"/>
                <w:color w:val="auto"/>
                <w:kern w:val="0"/>
                <w:sz w:val="20"/>
                <w:szCs w:val="20"/>
              </w:rPr>
            </w:pPr>
            <w:r>
              <w:rPr>
                <w:rFonts w:hint="eastAsia" w:ascii="宋体" w:hAnsi="宋体" w:eastAsia="宋体" w:cs="宋体"/>
                <w:color w:val="auto"/>
                <w:kern w:val="0"/>
                <w:sz w:val="20"/>
                <w:szCs w:val="20"/>
              </w:rPr>
              <w:t>三级指标</w:t>
            </w:r>
          </w:p>
        </w:tc>
        <w:tc>
          <w:tcPr>
            <w:tcW w:w="4228" w:type="dxa"/>
            <w:gridSpan w:val="2"/>
            <w:tcBorders>
              <w:tl2br w:val="nil"/>
              <w:tr2bl w:val="nil"/>
            </w:tcBorders>
            <w:vAlign w:val="center"/>
          </w:tcPr>
          <w:p w14:paraId="21FE4539">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ascii="宋体" w:cs="宋体"/>
                <w:color w:val="auto"/>
                <w:kern w:val="0"/>
                <w:sz w:val="20"/>
                <w:szCs w:val="20"/>
              </w:rPr>
            </w:pPr>
            <w:r>
              <w:rPr>
                <w:rFonts w:hint="eastAsia" w:ascii="宋体" w:hAnsi="宋体" w:eastAsia="宋体" w:cs="宋体"/>
                <w:color w:val="auto"/>
                <w:kern w:val="0"/>
                <w:sz w:val="20"/>
                <w:szCs w:val="20"/>
              </w:rPr>
              <w:t>指标值</w:t>
            </w:r>
          </w:p>
        </w:tc>
      </w:tr>
      <w:tr w14:paraId="03DB50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3" w:hRule="atLeast"/>
          <w:jc w:val="center"/>
        </w:trPr>
        <w:tc>
          <w:tcPr>
            <w:tcW w:w="438" w:type="dxa"/>
            <w:vMerge w:val="continue"/>
            <w:tcBorders>
              <w:tl2br w:val="nil"/>
              <w:tr2bl w:val="nil"/>
            </w:tcBorders>
            <w:vAlign w:val="center"/>
          </w:tcPr>
          <w:p w14:paraId="3FEA0CD7">
            <w:pPr>
              <w:keepNext w:val="0"/>
              <w:keepLines w:val="0"/>
              <w:pageBreakBefore w:val="0"/>
              <w:kinsoku/>
              <w:wordWrap/>
              <w:overflowPunct/>
              <w:topLinePunct w:val="0"/>
              <w:autoSpaceDE/>
              <w:autoSpaceDN/>
              <w:bidi w:val="0"/>
              <w:adjustRightInd/>
              <w:snapToGrid/>
              <w:spacing w:line="240" w:lineRule="auto"/>
              <w:jc w:val="center"/>
              <w:rPr>
                <w:rFonts w:ascii="宋体" w:cs="宋体"/>
                <w:color w:val="auto"/>
                <w:kern w:val="0"/>
                <w:sz w:val="20"/>
                <w:szCs w:val="20"/>
              </w:rPr>
            </w:pPr>
          </w:p>
        </w:tc>
        <w:tc>
          <w:tcPr>
            <w:tcW w:w="723" w:type="dxa"/>
            <w:vMerge w:val="restart"/>
            <w:tcBorders>
              <w:tl2br w:val="nil"/>
              <w:tr2bl w:val="nil"/>
            </w:tcBorders>
            <w:vAlign w:val="center"/>
          </w:tcPr>
          <w:p w14:paraId="7F0FC7FF">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ascii="宋体" w:cs="宋体"/>
                <w:color w:val="auto"/>
                <w:kern w:val="0"/>
                <w:sz w:val="20"/>
                <w:szCs w:val="20"/>
              </w:rPr>
            </w:pPr>
            <w:r>
              <w:rPr>
                <w:rFonts w:hint="eastAsia" w:ascii="宋体" w:hAnsi="宋体" w:eastAsia="宋体" w:cs="宋体"/>
                <w:color w:val="auto"/>
                <w:kern w:val="0"/>
                <w:sz w:val="20"/>
                <w:szCs w:val="20"/>
              </w:rPr>
              <w:t>产出指标</w:t>
            </w:r>
          </w:p>
        </w:tc>
        <w:tc>
          <w:tcPr>
            <w:tcW w:w="759" w:type="dxa"/>
            <w:gridSpan w:val="2"/>
            <w:tcBorders>
              <w:tl2br w:val="nil"/>
              <w:tr2bl w:val="nil"/>
            </w:tcBorders>
            <w:vAlign w:val="center"/>
          </w:tcPr>
          <w:p w14:paraId="7332038E">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ascii="宋体" w:cs="宋体"/>
                <w:color w:val="auto"/>
                <w:kern w:val="0"/>
                <w:sz w:val="20"/>
                <w:szCs w:val="20"/>
              </w:rPr>
            </w:pPr>
            <w:r>
              <w:rPr>
                <w:rFonts w:hint="eastAsia" w:ascii="宋体" w:hAnsi="宋体" w:eastAsia="宋体" w:cs="宋体"/>
                <w:color w:val="auto"/>
                <w:kern w:val="0"/>
                <w:sz w:val="20"/>
                <w:szCs w:val="20"/>
              </w:rPr>
              <w:t>数量指标</w:t>
            </w:r>
          </w:p>
        </w:tc>
        <w:tc>
          <w:tcPr>
            <w:tcW w:w="2872" w:type="dxa"/>
            <w:tcBorders>
              <w:tl2br w:val="nil"/>
              <w:tr2bl w:val="nil"/>
            </w:tcBorders>
            <w:vAlign w:val="center"/>
          </w:tcPr>
          <w:p w14:paraId="6D07A0FC">
            <w:pPr>
              <w:keepNext w:val="0"/>
              <w:keepLines w:val="0"/>
              <w:widowControl/>
              <w:suppressLineNumbers w:val="0"/>
              <w:jc w:val="left"/>
              <w:textAlignment w:val="center"/>
              <w:rPr>
                <w:rFonts w:ascii="宋体" w:cs="宋体"/>
                <w:color w:val="auto"/>
                <w:kern w:val="0"/>
                <w:sz w:val="20"/>
                <w:szCs w:val="20"/>
              </w:rPr>
            </w:pPr>
            <w:r>
              <w:rPr>
                <w:rFonts w:hint="eastAsia" w:ascii="宋体" w:hAnsi="宋体" w:eastAsia="宋体" w:cs="宋体"/>
                <w:i w:val="0"/>
                <w:iCs w:val="0"/>
                <w:color w:val="auto"/>
                <w:kern w:val="0"/>
                <w:sz w:val="20"/>
                <w:szCs w:val="20"/>
                <w:u w:val="none"/>
                <w:lang w:val="en-US" w:eastAsia="zh-CN" w:bidi="ar"/>
              </w:rPr>
              <w:t>指标1：保障办公楼、实验楼运转率</w:t>
            </w:r>
          </w:p>
        </w:tc>
        <w:tc>
          <w:tcPr>
            <w:tcW w:w="4228" w:type="dxa"/>
            <w:gridSpan w:val="2"/>
            <w:tcBorders>
              <w:tl2br w:val="nil"/>
              <w:tr2bl w:val="nil"/>
            </w:tcBorders>
            <w:vAlign w:val="center"/>
          </w:tcPr>
          <w:p w14:paraId="399F7D68">
            <w:pPr>
              <w:keepNext w:val="0"/>
              <w:keepLines w:val="0"/>
              <w:widowControl/>
              <w:suppressLineNumbers w:val="0"/>
              <w:jc w:val="center"/>
              <w:textAlignment w:val="center"/>
              <w:rPr>
                <w:rFonts w:ascii="宋体" w:cs="宋体"/>
                <w:color w:val="auto"/>
                <w:kern w:val="0"/>
                <w:sz w:val="20"/>
                <w:szCs w:val="20"/>
              </w:rPr>
            </w:pPr>
            <w:r>
              <w:rPr>
                <w:rFonts w:hint="eastAsia" w:ascii="宋体" w:hAnsi="宋体" w:eastAsia="宋体" w:cs="宋体"/>
                <w:i w:val="0"/>
                <w:iCs w:val="0"/>
                <w:color w:val="auto"/>
                <w:kern w:val="0"/>
                <w:sz w:val="20"/>
                <w:szCs w:val="20"/>
                <w:u w:val="none"/>
                <w:lang w:val="en-US" w:eastAsia="zh-CN" w:bidi="ar"/>
              </w:rPr>
              <w:t>100%</w:t>
            </w:r>
          </w:p>
        </w:tc>
      </w:tr>
      <w:tr w14:paraId="132D9C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3" w:hRule="atLeast"/>
          <w:jc w:val="center"/>
        </w:trPr>
        <w:tc>
          <w:tcPr>
            <w:tcW w:w="438" w:type="dxa"/>
            <w:vMerge w:val="continue"/>
            <w:tcBorders>
              <w:tl2br w:val="nil"/>
              <w:tr2bl w:val="nil"/>
            </w:tcBorders>
            <w:vAlign w:val="center"/>
          </w:tcPr>
          <w:p w14:paraId="123985DD">
            <w:pPr>
              <w:keepNext w:val="0"/>
              <w:keepLines w:val="0"/>
              <w:pageBreakBefore w:val="0"/>
              <w:kinsoku/>
              <w:wordWrap/>
              <w:overflowPunct/>
              <w:topLinePunct w:val="0"/>
              <w:autoSpaceDE/>
              <w:autoSpaceDN/>
              <w:bidi w:val="0"/>
              <w:adjustRightInd/>
              <w:snapToGrid/>
              <w:spacing w:line="240" w:lineRule="auto"/>
              <w:jc w:val="center"/>
              <w:rPr>
                <w:rFonts w:ascii="宋体" w:cs="宋体"/>
                <w:color w:val="auto"/>
                <w:kern w:val="0"/>
                <w:sz w:val="20"/>
                <w:szCs w:val="20"/>
              </w:rPr>
            </w:pPr>
          </w:p>
        </w:tc>
        <w:tc>
          <w:tcPr>
            <w:tcW w:w="723" w:type="dxa"/>
            <w:vMerge w:val="continue"/>
            <w:tcBorders>
              <w:tl2br w:val="nil"/>
              <w:tr2bl w:val="nil"/>
            </w:tcBorders>
            <w:vAlign w:val="center"/>
          </w:tcPr>
          <w:p w14:paraId="49775FFB">
            <w:pPr>
              <w:keepNext w:val="0"/>
              <w:keepLines w:val="0"/>
              <w:pageBreakBefore w:val="0"/>
              <w:kinsoku/>
              <w:wordWrap/>
              <w:overflowPunct/>
              <w:topLinePunct w:val="0"/>
              <w:autoSpaceDE/>
              <w:autoSpaceDN/>
              <w:bidi w:val="0"/>
              <w:adjustRightInd/>
              <w:snapToGrid/>
              <w:spacing w:line="240" w:lineRule="auto"/>
              <w:jc w:val="center"/>
              <w:rPr>
                <w:rFonts w:ascii="宋体" w:cs="宋体"/>
                <w:color w:val="auto"/>
                <w:kern w:val="0"/>
                <w:sz w:val="20"/>
                <w:szCs w:val="20"/>
              </w:rPr>
            </w:pPr>
          </w:p>
        </w:tc>
        <w:tc>
          <w:tcPr>
            <w:tcW w:w="759" w:type="dxa"/>
            <w:gridSpan w:val="2"/>
            <w:tcBorders>
              <w:tl2br w:val="nil"/>
              <w:tr2bl w:val="nil"/>
            </w:tcBorders>
            <w:vAlign w:val="center"/>
          </w:tcPr>
          <w:p w14:paraId="6F45532F">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ascii="宋体" w:cs="宋体"/>
                <w:color w:val="auto"/>
                <w:kern w:val="0"/>
                <w:sz w:val="20"/>
                <w:szCs w:val="20"/>
              </w:rPr>
            </w:pPr>
            <w:r>
              <w:rPr>
                <w:rFonts w:hint="eastAsia" w:ascii="宋体" w:hAnsi="宋体" w:eastAsia="宋体" w:cs="宋体"/>
                <w:color w:val="auto"/>
                <w:kern w:val="0"/>
                <w:sz w:val="20"/>
                <w:szCs w:val="20"/>
              </w:rPr>
              <w:t>质量指标</w:t>
            </w:r>
          </w:p>
        </w:tc>
        <w:tc>
          <w:tcPr>
            <w:tcW w:w="2872" w:type="dxa"/>
            <w:tcBorders>
              <w:tl2br w:val="nil"/>
              <w:tr2bl w:val="nil"/>
            </w:tcBorders>
            <w:vAlign w:val="center"/>
          </w:tcPr>
          <w:p w14:paraId="61C2A156">
            <w:pPr>
              <w:keepNext w:val="0"/>
              <w:keepLines w:val="0"/>
              <w:widowControl/>
              <w:suppressLineNumbers w:val="0"/>
              <w:jc w:val="left"/>
              <w:textAlignment w:val="center"/>
              <w:rPr>
                <w:rFonts w:ascii="宋体" w:cs="宋体"/>
                <w:color w:val="auto"/>
                <w:kern w:val="0"/>
                <w:sz w:val="20"/>
                <w:szCs w:val="20"/>
              </w:rPr>
            </w:pPr>
            <w:r>
              <w:rPr>
                <w:rFonts w:hint="eastAsia" w:ascii="宋体" w:hAnsi="宋体" w:eastAsia="宋体" w:cs="宋体"/>
                <w:i w:val="0"/>
                <w:iCs w:val="0"/>
                <w:color w:val="auto"/>
                <w:kern w:val="0"/>
                <w:sz w:val="20"/>
                <w:szCs w:val="20"/>
                <w:u w:val="none"/>
                <w:lang w:val="en-US" w:eastAsia="zh-CN" w:bidi="ar"/>
              </w:rPr>
              <w:t>指标1：办公家具用具质量</w:t>
            </w:r>
          </w:p>
        </w:tc>
        <w:tc>
          <w:tcPr>
            <w:tcW w:w="4228" w:type="dxa"/>
            <w:gridSpan w:val="2"/>
            <w:tcBorders>
              <w:tl2br w:val="nil"/>
              <w:tr2bl w:val="nil"/>
            </w:tcBorders>
            <w:vAlign w:val="center"/>
          </w:tcPr>
          <w:p w14:paraId="6E7F4FE9">
            <w:pPr>
              <w:keepNext w:val="0"/>
              <w:keepLines w:val="0"/>
              <w:widowControl/>
              <w:suppressLineNumbers w:val="0"/>
              <w:jc w:val="center"/>
              <w:textAlignment w:val="center"/>
              <w:rPr>
                <w:rFonts w:ascii="宋体" w:cs="宋体"/>
                <w:color w:val="auto"/>
                <w:kern w:val="0"/>
                <w:sz w:val="20"/>
                <w:szCs w:val="20"/>
              </w:rPr>
            </w:pPr>
            <w:r>
              <w:rPr>
                <w:rFonts w:hint="eastAsia" w:ascii="宋体" w:hAnsi="宋体" w:eastAsia="宋体" w:cs="宋体"/>
                <w:i w:val="0"/>
                <w:iCs w:val="0"/>
                <w:color w:val="auto"/>
                <w:kern w:val="0"/>
                <w:sz w:val="20"/>
                <w:szCs w:val="20"/>
                <w:u w:val="none"/>
                <w:lang w:val="en-US" w:eastAsia="zh-CN" w:bidi="ar"/>
              </w:rPr>
              <w:t>合格</w:t>
            </w:r>
          </w:p>
        </w:tc>
      </w:tr>
      <w:tr w14:paraId="4E4B5F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3" w:hRule="atLeast"/>
          <w:jc w:val="center"/>
        </w:trPr>
        <w:tc>
          <w:tcPr>
            <w:tcW w:w="438" w:type="dxa"/>
            <w:vMerge w:val="continue"/>
            <w:tcBorders>
              <w:tl2br w:val="nil"/>
              <w:tr2bl w:val="nil"/>
            </w:tcBorders>
            <w:vAlign w:val="center"/>
          </w:tcPr>
          <w:p w14:paraId="0E9C189E">
            <w:pPr>
              <w:keepNext w:val="0"/>
              <w:keepLines w:val="0"/>
              <w:pageBreakBefore w:val="0"/>
              <w:kinsoku/>
              <w:wordWrap/>
              <w:overflowPunct/>
              <w:topLinePunct w:val="0"/>
              <w:autoSpaceDE/>
              <w:autoSpaceDN/>
              <w:bidi w:val="0"/>
              <w:adjustRightInd/>
              <w:snapToGrid/>
              <w:spacing w:line="240" w:lineRule="auto"/>
              <w:jc w:val="center"/>
              <w:rPr>
                <w:rFonts w:ascii="宋体" w:cs="宋体"/>
                <w:color w:val="auto"/>
                <w:kern w:val="0"/>
                <w:sz w:val="20"/>
                <w:szCs w:val="20"/>
              </w:rPr>
            </w:pPr>
          </w:p>
        </w:tc>
        <w:tc>
          <w:tcPr>
            <w:tcW w:w="723" w:type="dxa"/>
            <w:vMerge w:val="continue"/>
            <w:tcBorders>
              <w:tl2br w:val="nil"/>
              <w:tr2bl w:val="nil"/>
            </w:tcBorders>
            <w:vAlign w:val="center"/>
          </w:tcPr>
          <w:p w14:paraId="16E1CE6D">
            <w:pPr>
              <w:keepNext w:val="0"/>
              <w:keepLines w:val="0"/>
              <w:pageBreakBefore w:val="0"/>
              <w:kinsoku/>
              <w:wordWrap/>
              <w:overflowPunct/>
              <w:topLinePunct w:val="0"/>
              <w:autoSpaceDE/>
              <w:autoSpaceDN/>
              <w:bidi w:val="0"/>
              <w:adjustRightInd/>
              <w:snapToGrid/>
              <w:spacing w:line="240" w:lineRule="auto"/>
              <w:jc w:val="center"/>
              <w:rPr>
                <w:rFonts w:ascii="宋体" w:cs="宋体"/>
                <w:color w:val="auto"/>
                <w:kern w:val="0"/>
                <w:sz w:val="20"/>
                <w:szCs w:val="20"/>
              </w:rPr>
            </w:pPr>
          </w:p>
        </w:tc>
        <w:tc>
          <w:tcPr>
            <w:tcW w:w="759" w:type="dxa"/>
            <w:gridSpan w:val="2"/>
            <w:tcBorders>
              <w:tl2br w:val="nil"/>
              <w:tr2bl w:val="nil"/>
            </w:tcBorders>
            <w:vAlign w:val="center"/>
          </w:tcPr>
          <w:p w14:paraId="6AA579AE">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ascii="宋体" w:cs="宋体"/>
                <w:color w:val="auto"/>
                <w:kern w:val="0"/>
                <w:sz w:val="20"/>
                <w:szCs w:val="20"/>
              </w:rPr>
            </w:pPr>
            <w:r>
              <w:rPr>
                <w:rFonts w:hint="eastAsia" w:ascii="宋体" w:hAnsi="宋体" w:eastAsia="宋体" w:cs="宋体"/>
                <w:color w:val="auto"/>
                <w:kern w:val="0"/>
                <w:sz w:val="20"/>
                <w:szCs w:val="20"/>
              </w:rPr>
              <w:t>时效指标</w:t>
            </w:r>
          </w:p>
        </w:tc>
        <w:tc>
          <w:tcPr>
            <w:tcW w:w="2872" w:type="dxa"/>
            <w:tcBorders>
              <w:tl2br w:val="nil"/>
              <w:tr2bl w:val="nil"/>
            </w:tcBorders>
            <w:vAlign w:val="center"/>
          </w:tcPr>
          <w:p w14:paraId="53AFC5C7">
            <w:pPr>
              <w:keepNext w:val="0"/>
              <w:keepLines w:val="0"/>
              <w:widowControl/>
              <w:suppressLineNumbers w:val="0"/>
              <w:jc w:val="left"/>
              <w:textAlignment w:val="center"/>
              <w:rPr>
                <w:rFonts w:ascii="宋体" w:cs="宋体"/>
                <w:color w:val="auto"/>
                <w:kern w:val="0"/>
                <w:sz w:val="20"/>
                <w:szCs w:val="20"/>
              </w:rPr>
            </w:pPr>
            <w:r>
              <w:rPr>
                <w:rFonts w:hint="eastAsia" w:ascii="宋体" w:hAnsi="宋体" w:eastAsia="宋体" w:cs="宋体"/>
                <w:i w:val="0"/>
                <w:iCs w:val="0"/>
                <w:color w:val="auto"/>
                <w:kern w:val="0"/>
                <w:sz w:val="20"/>
                <w:szCs w:val="20"/>
                <w:u w:val="none"/>
                <w:lang w:val="en-US" w:eastAsia="zh-CN" w:bidi="ar"/>
              </w:rPr>
              <w:t>指标1：完成时间</w:t>
            </w:r>
          </w:p>
        </w:tc>
        <w:tc>
          <w:tcPr>
            <w:tcW w:w="4228" w:type="dxa"/>
            <w:gridSpan w:val="2"/>
            <w:tcBorders>
              <w:tl2br w:val="nil"/>
              <w:tr2bl w:val="nil"/>
            </w:tcBorders>
            <w:vAlign w:val="center"/>
          </w:tcPr>
          <w:p w14:paraId="076ECC13">
            <w:pPr>
              <w:keepNext w:val="0"/>
              <w:keepLines w:val="0"/>
              <w:widowControl/>
              <w:suppressLineNumbers w:val="0"/>
              <w:jc w:val="center"/>
              <w:textAlignment w:val="center"/>
              <w:rPr>
                <w:rFonts w:ascii="宋体" w:cs="宋体"/>
                <w:color w:val="auto"/>
                <w:kern w:val="0"/>
                <w:sz w:val="20"/>
                <w:szCs w:val="20"/>
              </w:rPr>
            </w:pPr>
            <w:r>
              <w:rPr>
                <w:rFonts w:hint="eastAsia" w:ascii="宋体" w:hAnsi="宋体" w:eastAsia="宋体" w:cs="宋体"/>
                <w:i w:val="0"/>
                <w:iCs w:val="0"/>
                <w:color w:val="auto"/>
                <w:kern w:val="0"/>
                <w:sz w:val="20"/>
                <w:szCs w:val="20"/>
                <w:u w:val="none"/>
                <w:lang w:val="en-US" w:eastAsia="zh-CN" w:bidi="ar"/>
              </w:rPr>
              <w:t>2025年底</w:t>
            </w:r>
          </w:p>
        </w:tc>
      </w:tr>
      <w:tr w14:paraId="60C191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3" w:hRule="atLeast"/>
          <w:jc w:val="center"/>
        </w:trPr>
        <w:tc>
          <w:tcPr>
            <w:tcW w:w="438" w:type="dxa"/>
            <w:vMerge w:val="continue"/>
            <w:tcBorders>
              <w:tl2br w:val="nil"/>
              <w:tr2bl w:val="nil"/>
            </w:tcBorders>
            <w:vAlign w:val="center"/>
          </w:tcPr>
          <w:p w14:paraId="2E7DB49F">
            <w:pPr>
              <w:keepNext w:val="0"/>
              <w:keepLines w:val="0"/>
              <w:pageBreakBefore w:val="0"/>
              <w:kinsoku/>
              <w:wordWrap/>
              <w:overflowPunct/>
              <w:topLinePunct w:val="0"/>
              <w:autoSpaceDE/>
              <w:autoSpaceDN/>
              <w:bidi w:val="0"/>
              <w:adjustRightInd/>
              <w:snapToGrid/>
              <w:spacing w:line="240" w:lineRule="auto"/>
              <w:jc w:val="center"/>
              <w:rPr>
                <w:rFonts w:ascii="宋体" w:cs="宋体"/>
                <w:color w:val="auto"/>
                <w:kern w:val="0"/>
                <w:sz w:val="20"/>
                <w:szCs w:val="20"/>
              </w:rPr>
            </w:pPr>
          </w:p>
        </w:tc>
        <w:tc>
          <w:tcPr>
            <w:tcW w:w="723" w:type="dxa"/>
            <w:vMerge w:val="continue"/>
            <w:tcBorders>
              <w:tl2br w:val="nil"/>
              <w:tr2bl w:val="nil"/>
            </w:tcBorders>
            <w:vAlign w:val="center"/>
          </w:tcPr>
          <w:p w14:paraId="50FE7158">
            <w:pPr>
              <w:keepNext w:val="0"/>
              <w:keepLines w:val="0"/>
              <w:pageBreakBefore w:val="0"/>
              <w:kinsoku/>
              <w:wordWrap/>
              <w:overflowPunct/>
              <w:topLinePunct w:val="0"/>
              <w:autoSpaceDE/>
              <w:autoSpaceDN/>
              <w:bidi w:val="0"/>
              <w:adjustRightInd/>
              <w:snapToGrid/>
              <w:spacing w:line="240" w:lineRule="auto"/>
              <w:jc w:val="center"/>
              <w:rPr>
                <w:rFonts w:ascii="宋体" w:cs="宋体"/>
                <w:color w:val="auto"/>
                <w:kern w:val="0"/>
                <w:sz w:val="20"/>
                <w:szCs w:val="20"/>
              </w:rPr>
            </w:pPr>
          </w:p>
        </w:tc>
        <w:tc>
          <w:tcPr>
            <w:tcW w:w="759" w:type="dxa"/>
            <w:gridSpan w:val="2"/>
            <w:tcBorders>
              <w:tl2br w:val="nil"/>
              <w:tr2bl w:val="nil"/>
            </w:tcBorders>
            <w:vAlign w:val="center"/>
          </w:tcPr>
          <w:p w14:paraId="47934665">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ascii="宋体" w:cs="宋体"/>
                <w:color w:val="auto"/>
                <w:kern w:val="0"/>
                <w:sz w:val="20"/>
                <w:szCs w:val="20"/>
              </w:rPr>
            </w:pPr>
            <w:r>
              <w:rPr>
                <w:rFonts w:hint="eastAsia" w:ascii="宋体" w:hAnsi="宋体" w:eastAsia="宋体" w:cs="宋体"/>
                <w:color w:val="auto"/>
                <w:kern w:val="0"/>
                <w:sz w:val="20"/>
                <w:szCs w:val="20"/>
              </w:rPr>
              <w:t>成本指标</w:t>
            </w:r>
          </w:p>
        </w:tc>
        <w:tc>
          <w:tcPr>
            <w:tcW w:w="2872" w:type="dxa"/>
            <w:tcBorders>
              <w:tl2br w:val="nil"/>
              <w:tr2bl w:val="nil"/>
            </w:tcBorders>
            <w:vAlign w:val="center"/>
          </w:tcPr>
          <w:p w14:paraId="50CE9E22">
            <w:pPr>
              <w:keepNext w:val="0"/>
              <w:keepLines w:val="0"/>
              <w:widowControl/>
              <w:suppressLineNumbers w:val="0"/>
              <w:jc w:val="left"/>
              <w:textAlignment w:val="center"/>
              <w:rPr>
                <w:rFonts w:ascii="宋体" w:cs="宋体"/>
                <w:color w:val="auto"/>
                <w:kern w:val="0"/>
                <w:sz w:val="20"/>
                <w:szCs w:val="20"/>
              </w:rPr>
            </w:pPr>
            <w:r>
              <w:rPr>
                <w:rFonts w:hint="eastAsia" w:ascii="宋体" w:hAnsi="宋体" w:eastAsia="宋体" w:cs="宋体"/>
                <w:i w:val="0"/>
                <w:iCs w:val="0"/>
                <w:color w:val="auto"/>
                <w:kern w:val="0"/>
                <w:sz w:val="20"/>
                <w:szCs w:val="20"/>
                <w:u w:val="none"/>
                <w:lang w:val="en-US" w:eastAsia="zh-CN" w:bidi="ar"/>
              </w:rPr>
              <w:t>指标1：项目总经费</w:t>
            </w:r>
          </w:p>
        </w:tc>
        <w:tc>
          <w:tcPr>
            <w:tcW w:w="4228" w:type="dxa"/>
            <w:gridSpan w:val="2"/>
            <w:tcBorders>
              <w:tl2br w:val="nil"/>
              <w:tr2bl w:val="nil"/>
            </w:tcBorders>
            <w:vAlign w:val="center"/>
          </w:tcPr>
          <w:p w14:paraId="3F042920">
            <w:pPr>
              <w:keepNext w:val="0"/>
              <w:keepLines w:val="0"/>
              <w:widowControl/>
              <w:suppressLineNumbers w:val="0"/>
              <w:jc w:val="center"/>
              <w:textAlignment w:val="center"/>
              <w:rPr>
                <w:rFonts w:ascii="宋体" w:cs="宋体"/>
                <w:color w:val="auto"/>
                <w:kern w:val="0"/>
                <w:sz w:val="20"/>
                <w:szCs w:val="20"/>
              </w:rPr>
            </w:pPr>
            <w:r>
              <w:rPr>
                <w:rFonts w:hint="eastAsia" w:ascii="宋体" w:hAnsi="宋体" w:eastAsia="宋体" w:cs="宋体"/>
                <w:i w:val="0"/>
                <w:iCs w:val="0"/>
                <w:color w:val="auto"/>
                <w:kern w:val="0"/>
                <w:sz w:val="20"/>
                <w:szCs w:val="20"/>
                <w:u w:val="none"/>
                <w:lang w:val="en-US" w:eastAsia="zh-CN" w:bidi="ar"/>
              </w:rPr>
              <w:t>≤20万元</w:t>
            </w:r>
          </w:p>
        </w:tc>
      </w:tr>
      <w:tr w14:paraId="7968EE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3" w:hRule="atLeast"/>
          <w:jc w:val="center"/>
        </w:trPr>
        <w:tc>
          <w:tcPr>
            <w:tcW w:w="438" w:type="dxa"/>
            <w:vMerge w:val="continue"/>
            <w:tcBorders>
              <w:tl2br w:val="nil"/>
              <w:tr2bl w:val="nil"/>
            </w:tcBorders>
            <w:vAlign w:val="center"/>
          </w:tcPr>
          <w:p w14:paraId="5339D3EF">
            <w:pPr>
              <w:keepNext w:val="0"/>
              <w:keepLines w:val="0"/>
              <w:pageBreakBefore w:val="0"/>
              <w:kinsoku/>
              <w:wordWrap/>
              <w:overflowPunct/>
              <w:topLinePunct w:val="0"/>
              <w:autoSpaceDE/>
              <w:autoSpaceDN/>
              <w:bidi w:val="0"/>
              <w:adjustRightInd/>
              <w:snapToGrid/>
              <w:spacing w:line="240" w:lineRule="auto"/>
              <w:jc w:val="center"/>
              <w:rPr>
                <w:rFonts w:ascii="宋体" w:cs="宋体"/>
                <w:color w:val="auto"/>
                <w:kern w:val="0"/>
                <w:sz w:val="20"/>
                <w:szCs w:val="20"/>
              </w:rPr>
            </w:pPr>
          </w:p>
        </w:tc>
        <w:tc>
          <w:tcPr>
            <w:tcW w:w="723" w:type="dxa"/>
            <w:vMerge w:val="restart"/>
            <w:tcBorders>
              <w:tl2br w:val="nil"/>
              <w:tr2bl w:val="nil"/>
            </w:tcBorders>
            <w:vAlign w:val="center"/>
          </w:tcPr>
          <w:p w14:paraId="5B272880">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ascii="宋体" w:cs="宋体"/>
                <w:color w:val="auto"/>
                <w:kern w:val="0"/>
                <w:sz w:val="20"/>
                <w:szCs w:val="20"/>
              </w:rPr>
            </w:pPr>
            <w:r>
              <w:rPr>
                <w:rFonts w:hint="eastAsia" w:ascii="宋体" w:hAnsi="宋体" w:eastAsia="宋体" w:cs="宋体"/>
                <w:color w:val="auto"/>
                <w:kern w:val="0"/>
                <w:sz w:val="20"/>
                <w:szCs w:val="20"/>
              </w:rPr>
              <w:t>效益指标</w:t>
            </w:r>
          </w:p>
        </w:tc>
        <w:tc>
          <w:tcPr>
            <w:tcW w:w="759" w:type="dxa"/>
            <w:gridSpan w:val="2"/>
            <w:tcBorders>
              <w:tl2br w:val="nil"/>
              <w:tr2bl w:val="nil"/>
            </w:tcBorders>
            <w:vAlign w:val="center"/>
          </w:tcPr>
          <w:p w14:paraId="10E25D4E">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ascii="宋体" w:cs="宋体"/>
                <w:color w:val="auto"/>
                <w:kern w:val="0"/>
                <w:sz w:val="20"/>
                <w:szCs w:val="20"/>
              </w:rPr>
            </w:pPr>
            <w:r>
              <w:rPr>
                <w:rFonts w:hint="eastAsia" w:ascii="宋体" w:hAnsi="宋体" w:eastAsia="宋体" w:cs="宋体"/>
                <w:color w:val="auto"/>
                <w:kern w:val="0"/>
                <w:sz w:val="20"/>
                <w:szCs w:val="20"/>
              </w:rPr>
              <w:t>经济效益指标</w:t>
            </w:r>
          </w:p>
        </w:tc>
        <w:tc>
          <w:tcPr>
            <w:tcW w:w="2872" w:type="dxa"/>
            <w:tcBorders>
              <w:tl2br w:val="nil"/>
              <w:tr2bl w:val="nil"/>
            </w:tcBorders>
            <w:vAlign w:val="center"/>
          </w:tcPr>
          <w:p w14:paraId="6F51E678">
            <w:pPr>
              <w:keepNext w:val="0"/>
              <w:keepLines w:val="0"/>
              <w:widowControl/>
              <w:suppressLineNumbers w:val="0"/>
              <w:jc w:val="left"/>
              <w:textAlignment w:val="center"/>
              <w:rPr>
                <w:rFonts w:ascii="宋体" w:cs="宋体"/>
                <w:color w:val="auto"/>
                <w:kern w:val="0"/>
                <w:sz w:val="20"/>
                <w:szCs w:val="20"/>
              </w:rPr>
            </w:pPr>
            <w:r>
              <w:rPr>
                <w:rFonts w:hint="eastAsia" w:ascii="宋体" w:hAnsi="宋体" w:eastAsia="宋体" w:cs="宋体"/>
                <w:i w:val="0"/>
                <w:iCs w:val="0"/>
                <w:color w:val="auto"/>
                <w:kern w:val="0"/>
                <w:sz w:val="20"/>
                <w:szCs w:val="20"/>
                <w:u w:val="none"/>
                <w:lang w:val="en-US" w:eastAsia="zh-CN" w:bidi="ar"/>
              </w:rPr>
              <w:t>指标1：疾病控制成本</w:t>
            </w:r>
          </w:p>
        </w:tc>
        <w:tc>
          <w:tcPr>
            <w:tcW w:w="4228" w:type="dxa"/>
            <w:gridSpan w:val="2"/>
            <w:tcBorders>
              <w:tl2br w:val="nil"/>
              <w:tr2bl w:val="nil"/>
            </w:tcBorders>
            <w:vAlign w:val="center"/>
          </w:tcPr>
          <w:p w14:paraId="3A801F16">
            <w:pPr>
              <w:keepNext w:val="0"/>
              <w:keepLines w:val="0"/>
              <w:widowControl/>
              <w:suppressLineNumbers w:val="0"/>
              <w:jc w:val="center"/>
              <w:textAlignment w:val="center"/>
              <w:rPr>
                <w:rFonts w:hint="eastAsia" w:ascii="宋体" w:cs="宋体" w:eastAsiaTheme="minorEastAsia"/>
                <w:color w:val="auto"/>
                <w:kern w:val="0"/>
                <w:sz w:val="20"/>
                <w:szCs w:val="20"/>
                <w:lang w:val="en-US" w:eastAsia="zh-CN"/>
              </w:rPr>
            </w:pPr>
            <w:r>
              <w:rPr>
                <w:rFonts w:hint="eastAsia" w:ascii="宋体" w:hAnsi="宋体" w:eastAsia="宋体" w:cs="宋体"/>
                <w:i w:val="0"/>
                <w:iCs w:val="0"/>
                <w:color w:val="auto"/>
                <w:kern w:val="0"/>
                <w:sz w:val="20"/>
                <w:szCs w:val="20"/>
                <w:u w:val="none"/>
                <w:lang w:val="en-US" w:eastAsia="zh-CN" w:bidi="ar"/>
              </w:rPr>
              <w:t>加强疾病预防控制，促进经济发展</w:t>
            </w:r>
          </w:p>
        </w:tc>
      </w:tr>
      <w:tr w14:paraId="6D0201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3" w:hRule="atLeast"/>
          <w:jc w:val="center"/>
        </w:trPr>
        <w:tc>
          <w:tcPr>
            <w:tcW w:w="438" w:type="dxa"/>
            <w:vMerge w:val="continue"/>
            <w:tcBorders>
              <w:tl2br w:val="nil"/>
              <w:tr2bl w:val="nil"/>
            </w:tcBorders>
            <w:vAlign w:val="center"/>
          </w:tcPr>
          <w:p w14:paraId="18370819">
            <w:pPr>
              <w:keepNext w:val="0"/>
              <w:keepLines w:val="0"/>
              <w:pageBreakBefore w:val="0"/>
              <w:kinsoku/>
              <w:wordWrap/>
              <w:overflowPunct/>
              <w:topLinePunct w:val="0"/>
              <w:autoSpaceDE/>
              <w:autoSpaceDN/>
              <w:bidi w:val="0"/>
              <w:adjustRightInd/>
              <w:snapToGrid/>
              <w:spacing w:line="240" w:lineRule="auto"/>
              <w:jc w:val="center"/>
              <w:rPr>
                <w:rFonts w:ascii="宋体" w:cs="宋体"/>
                <w:color w:val="auto"/>
                <w:kern w:val="0"/>
                <w:sz w:val="20"/>
                <w:szCs w:val="20"/>
              </w:rPr>
            </w:pPr>
          </w:p>
        </w:tc>
        <w:tc>
          <w:tcPr>
            <w:tcW w:w="723" w:type="dxa"/>
            <w:vMerge w:val="continue"/>
            <w:tcBorders>
              <w:tl2br w:val="nil"/>
              <w:tr2bl w:val="nil"/>
            </w:tcBorders>
            <w:vAlign w:val="center"/>
          </w:tcPr>
          <w:p w14:paraId="6F2EADC5">
            <w:pPr>
              <w:keepNext w:val="0"/>
              <w:keepLines w:val="0"/>
              <w:pageBreakBefore w:val="0"/>
              <w:kinsoku/>
              <w:wordWrap/>
              <w:overflowPunct/>
              <w:topLinePunct w:val="0"/>
              <w:autoSpaceDE/>
              <w:autoSpaceDN/>
              <w:bidi w:val="0"/>
              <w:adjustRightInd/>
              <w:snapToGrid/>
              <w:spacing w:line="240" w:lineRule="auto"/>
              <w:jc w:val="center"/>
              <w:rPr>
                <w:rFonts w:ascii="宋体" w:cs="宋体"/>
                <w:color w:val="auto"/>
                <w:kern w:val="0"/>
                <w:sz w:val="20"/>
                <w:szCs w:val="20"/>
              </w:rPr>
            </w:pPr>
          </w:p>
        </w:tc>
        <w:tc>
          <w:tcPr>
            <w:tcW w:w="759" w:type="dxa"/>
            <w:gridSpan w:val="2"/>
            <w:tcBorders>
              <w:tl2br w:val="nil"/>
              <w:tr2bl w:val="nil"/>
            </w:tcBorders>
            <w:vAlign w:val="center"/>
          </w:tcPr>
          <w:p w14:paraId="6A476CA4">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ascii="宋体" w:cs="宋体"/>
                <w:color w:val="auto"/>
                <w:kern w:val="0"/>
                <w:sz w:val="20"/>
                <w:szCs w:val="20"/>
              </w:rPr>
            </w:pPr>
            <w:r>
              <w:rPr>
                <w:rFonts w:hint="eastAsia" w:ascii="宋体" w:hAnsi="宋体" w:eastAsia="宋体" w:cs="宋体"/>
                <w:color w:val="auto"/>
                <w:kern w:val="0"/>
                <w:sz w:val="20"/>
                <w:szCs w:val="20"/>
              </w:rPr>
              <w:t>社会效益指标</w:t>
            </w:r>
          </w:p>
        </w:tc>
        <w:tc>
          <w:tcPr>
            <w:tcW w:w="2872" w:type="dxa"/>
            <w:tcBorders>
              <w:tl2br w:val="nil"/>
              <w:tr2bl w:val="nil"/>
            </w:tcBorders>
            <w:vAlign w:val="center"/>
          </w:tcPr>
          <w:p w14:paraId="51E4D511">
            <w:pPr>
              <w:keepNext w:val="0"/>
              <w:keepLines w:val="0"/>
              <w:widowControl/>
              <w:suppressLineNumbers w:val="0"/>
              <w:jc w:val="left"/>
              <w:textAlignment w:val="center"/>
              <w:rPr>
                <w:rFonts w:ascii="宋体" w:cs="宋体"/>
                <w:color w:val="auto"/>
                <w:kern w:val="0"/>
                <w:sz w:val="20"/>
                <w:szCs w:val="20"/>
              </w:rPr>
            </w:pPr>
            <w:r>
              <w:rPr>
                <w:rFonts w:hint="eastAsia" w:ascii="宋体" w:hAnsi="宋体" w:eastAsia="宋体" w:cs="宋体"/>
                <w:i w:val="0"/>
                <w:iCs w:val="0"/>
                <w:color w:val="auto"/>
                <w:kern w:val="0"/>
                <w:sz w:val="20"/>
                <w:szCs w:val="20"/>
                <w:u w:val="none"/>
                <w:lang w:val="en-US" w:eastAsia="zh-CN" w:bidi="ar"/>
              </w:rPr>
              <w:t>指标1：加强疾病预防</w:t>
            </w:r>
          </w:p>
        </w:tc>
        <w:tc>
          <w:tcPr>
            <w:tcW w:w="4228" w:type="dxa"/>
            <w:gridSpan w:val="2"/>
            <w:tcBorders>
              <w:tl2br w:val="nil"/>
              <w:tr2bl w:val="nil"/>
            </w:tcBorders>
            <w:vAlign w:val="center"/>
          </w:tcPr>
          <w:p w14:paraId="2E6E3896">
            <w:pPr>
              <w:keepNext w:val="0"/>
              <w:keepLines w:val="0"/>
              <w:widowControl/>
              <w:suppressLineNumbers w:val="0"/>
              <w:jc w:val="center"/>
              <w:textAlignment w:val="center"/>
              <w:rPr>
                <w:rFonts w:hint="default" w:ascii="宋体" w:cs="宋体" w:eastAsiaTheme="minorEastAsia"/>
                <w:color w:val="auto"/>
                <w:kern w:val="0"/>
                <w:sz w:val="20"/>
                <w:szCs w:val="20"/>
                <w:lang w:val="en-US" w:eastAsia="zh-CN"/>
              </w:rPr>
            </w:pPr>
            <w:r>
              <w:rPr>
                <w:rFonts w:hint="eastAsia" w:ascii="宋体" w:hAnsi="宋体" w:eastAsia="宋体" w:cs="宋体"/>
                <w:i w:val="0"/>
                <w:iCs w:val="0"/>
                <w:color w:val="auto"/>
                <w:kern w:val="0"/>
                <w:sz w:val="20"/>
                <w:szCs w:val="20"/>
                <w:u w:val="none"/>
                <w:lang w:val="en-US" w:eastAsia="zh-CN" w:bidi="ar"/>
              </w:rPr>
              <w:t>不断提高传染病检测能力</w:t>
            </w:r>
          </w:p>
        </w:tc>
      </w:tr>
      <w:tr w14:paraId="0B0B30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3" w:hRule="atLeast"/>
          <w:jc w:val="center"/>
        </w:trPr>
        <w:tc>
          <w:tcPr>
            <w:tcW w:w="438" w:type="dxa"/>
            <w:vMerge w:val="continue"/>
            <w:tcBorders>
              <w:tl2br w:val="nil"/>
              <w:tr2bl w:val="nil"/>
            </w:tcBorders>
            <w:vAlign w:val="center"/>
          </w:tcPr>
          <w:p w14:paraId="75774EF9">
            <w:pPr>
              <w:keepNext w:val="0"/>
              <w:keepLines w:val="0"/>
              <w:pageBreakBefore w:val="0"/>
              <w:kinsoku/>
              <w:wordWrap/>
              <w:overflowPunct/>
              <w:topLinePunct w:val="0"/>
              <w:autoSpaceDE/>
              <w:autoSpaceDN/>
              <w:bidi w:val="0"/>
              <w:adjustRightInd/>
              <w:snapToGrid/>
              <w:spacing w:line="240" w:lineRule="auto"/>
              <w:jc w:val="center"/>
              <w:rPr>
                <w:rFonts w:ascii="宋体" w:cs="宋体"/>
                <w:color w:val="auto"/>
                <w:kern w:val="0"/>
                <w:sz w:val="20"/>
                <w:szCs w:val="20"/>
              </w:rPr>
            </w:pPr>
          </w:p>
        </w:tc>
        <w:tc>
          <w:tcPr>
            <w:tcW w:w="723" w:type="dxa"/>
            <w:vMerge w:val="continue"/>
            <w:tcBorders>
              <w:tl2br w:val="nil"/>
              <w:tr2bl w:val="nil"/>
            </w:tcBorders>
            <w:vAlign w:val="center"/>
          </w:tcPr>
          <w:p w14:paraId="456FA05E">
            <w:pPr>
              <w:keepNext w:val="0"/>
              <w:keepLines w:val="0"/>
              <w:pageBreakBefore w:val="0"/>
              <w:kinsoku/>
              <w:wordWrap/>
              <w:overflowPunct/>
              <w:topLinePunct w:val="0"/>
              <w:autoSpaceDE/>
              <w:autoSpaceDN/>
              <w:bidi w:val="0"/>
              <w:adjustRightInd/>
              <w:snapToGrid/>
              <w:spacing w:line="240" w:lineRule="auto"/>
              <w:jc w:val="center"/>
              <w:rPr>
                <w:rFonts w:ascii="宋体" w:cs="宋体"/>
                <w:color w:val="auto"/>
                <w:kern w:val="0"/>
                <w:sz w:val="20"/>
                <w:szCs w:val="20"/>
              </w:rPr>
            </w:pPr>
          </w:p>
        </w:tc>
        <w:tc>
          <w:tcPr>
            <w:tcW w:w="759" w:type="dxa"/>
            <w:gridSpan w:val="2"/>
            <w:tcBorders>
              <w:tl2br w:val="nil"/>
              <w:tr2bl w:val="nil"/>
            </w:tcBorders>
            <w:vAlign w:val="center"/>
          </w:tcPr>
          <w:p w14:paraId="07A3F6D8">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ascii="宋体" w:cs="宋体"/>
                <w:color w:val="auto"/>
                <w:kern w:val="0"/>
                <w:sz w:val="20"/>
                <w:szCs w:val="20"/>
              </w:rPr>
            </w:pPr>
            <w:r>
              <w:rPr>
                <w:rFonts w:hint="eastAsia" w:ascii="宋体" w:hAnsi="宋体" w:eastAsia="宋体" w:cs="宋体"/>
                <w:color w:val="auto"/>
                <w:kern w:val="0"/>
                <w:sz w:val="20"/>
                <w:szCs w:val="20"/>
              </w:rPr>
              <w:t>生态效益指标</w:t>
            </w:r>
          </w:p>
        </w:tc>
        <w:tc>
          <w:tcPr>
            <w:tcW w:w="2872" w:type="dxa"/>
            <w:tcBorders>
              <w:tl2br w:val="nil"/>
              <w:tr2bl w:val="nil"/>
            </w:tcBorders>
            <w:vAlign w:val="center"/>
          </w:tcPr>
          <w:p w14:paraId="320419F1">
            <w:pPr>
              <w:keepNext w:val="0"/>
              <w:keepLines w:val="0"/>
              <w:widowControl/>
              <w:suppressLineNumbers w:val="0"/>
              <w:jc w:val="left"/>
              <w:textAlignment w:val="center"/>
              <w:rPr>
                <w:rFonts w:ascii="宋体" w:cs="宋体"/>
                <w:color w:val="auto"/>
                <w:kern w:val="0"/>
                <w:sz w:val="20"/>
                <w:szCs w:val="20"/>
              </w:rPr>
            </w:pPr>
            <w:r>
              <w:rPr>
                <w:rFonts w:hint="eastAsia" w:ascii="宋体" w:hAnsi="宋体" w:eastAsia="宋体" w:cs="宋体"/>
                <w:i w:val="0"/>
                <w:iCs w:val="0"/>
                <w:color w:val="auto"/>
                <w:kern w:val="0"/>
                <w:sz w:val="20"/>
                <w:szCs w:val="20"/>
                <w:u w:val="none"/>
                <w:lang w:val="en-US" w:eastAsia="zh-CN" w:bidi="ar"/>
              </w:rPr>
              <w:t>指标1：生态环境</w:t>
            </w:r>
          </w:p>
        </w:tc>
        <w:tc>
          <w:tcPr>
            <w:tcW w:w="4228" w:type="dxa"/>
            <w:gridSpan w:val="2"/>
            <w:tcBorders>
              <w:tl2br w:val="nil"/>
              <w:tr2bl w:val="nil"/>
            </w:tcBorders>
            <w:vAlign w:val="center"/>
          </w:tcPr>
          <w:p w14:paraId="43DF5EC9">
            <w:pPr>
              <w:keepNext w:val="0"/>
              <w:keepLines w:val="0"/>
              <w:widowControl/>
              <w:suppressLineNumbers w:val="0"/>
              <w:jc w:val="center"/>
              <w:textAlignment w:val="center"/>
              <w:rPr>
                <w:rFonts w:ascii="宋体" w:cs="宋体"/>
                <w:color w:val="auto"/>
                <w:kern w:val="0"/>
                <w:sz w:val="20"/>
                <w:szCs w:val="20"/>
              </w:rPr>
            </w:pPr>
            <w:r>
              <w:rPr>
                <w:rFonts w:hint="eastAsia" w:ascii="宋体" w:hAnsi="宋体" w:eastAsia="宋体" w:cs="宋体"/>
                <w:i w:val="0"/>
                <w:iCs w:val="0"/>
                <w:color w:val="auto"/>
                <w:kern w:val="0"/>
                <w:sz w:val="20"/>
                <w:szCs w:val="20"/>
                <w:u w:val="none"/>
                <w:lang w:val="en-US" w:eastAsia="zh-CN" w:bidi="ar"/>
              </w:rPr>
              <w:t>加强疾病预防控制，保护环境</w:t>
            </w:r>
          </w:p>
        </w:tc>
      </w:tr>
      <w:tr w14:paraId="3A4AB7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jc w:val="center"/>
        </w:trPr>
        <w:tc>
          <w:tcPr>
            <w:tcW w:w="438" w:type="dxa"/>
            <w:vMerge w:val="continue"/>
            <w:tcBorders>
              <w:tl2br w:val="nil"/>
              <w:tr2bl w:val="nil"/>
            </w:tcBorders>
            <w:vAlign w:val="center"/>
          </w:tcPr>
          <w:p w14:paraId="53EE86F0">
            <w:pPr>
              <w:keepNext w:val="0"/>
              <w:keepLines w:val="0"/>
              <w:pageBreakBefore w:val="0"/>
              <w:kinsoku/>
              <w:wordWrap/>
              <w:overflowPunct/>
              <w:topLinePunct w:val="0"/>
              <w:autoSpaceDE/>
              <w:autoSpaceDN/>
              <w:bidi w:val="0"/>
              <w:adjustRightInd/>
              <w:snapToGrid/>
              <w:spacing w:line="240" w:lineRule="auto"/>
              <w:jc w:val="center"/>
              <w:rPr>
                <w:rFonts w:ascii="宋体" w:cs="宋体"/>
                <w:color w:val="auto"/>
                <w:kern w:val="0"/>
                <w:sz w:val="20"/>
                <w:szCs w:val="20"/>
              </w:rPr>
            </w:pPr>
          </w:p>
        </w:tc>
        <w:tc>
          <w:tcPr>
            <w:tcW w:w="723" w:type="dxa"/>
            <w:vMerge w:val="continue"/>
            <w:tcBorders>
              <w:tl2br w:val="nil"/>
              <w:tr2bl w:val="nil"/>
            </w:tcBorders>
            <w:vAlign w:val="center"/>
          </w:tcPr>
          <w:p w14:paraId="6C3C0536">
            <w:pPr>
              <w:keepNext w:val="0"/>
              <w:keepLines w:val="0"/>
              <w:pageBreakBefore w:val="0"/>
              <w:kinsoku/>
              <w:wordWrap/>
              <w:overflowPunct/>
              <w:topLinePunct w:val="0"/>
              <w:autoSpaceDE/>
              <w:autoSpaceDN/>
              <w:bidi w:val="0"/>
              <w:adjustRightInd/>
              <w:snapToGrid/>
              <w:spacing w:line="240" w:lineRule="auto"/>
              <w:jc w:val="center"/>
              <w:rPr>
                <w:rFonts w:ascii="宋体" w:cs="宋体"/>
                <w:color w:val="auto"/>
                <w:kern w:val="0"/>
                <w:sz w:val="20"/>
                <w:szCs w:val="20"/>
              </w:rPr>
            </w:pPr>
          </w:p>
        </w:tc>
        <w:tc>
          <w:tcPr>
            <w:tcW w:w="759" w:type="dxa"/>
            <w:gridSpan w:val="2"/>
            <w:tcBorders>
              <w:tl2br w:val="nil"/>
              <w:tr2bl w:val="nil"/>
            </w:tcBorders>
            <w:vAlign w:val="center"/>
          </w:tcPr>
          <w:p w14:paraId="2AEA7AD8">
            <w:pPr>
              <w:keepNext w:val="0"/>
              <w:keepLines w:val="0"/>
              <w:pageBreakBefore w:val="0"/>
              <w:widowControl/>
              <w:kinsoku/>
              <w:wordWrap/>
              <w:overflowPunct/>
              <w:topLinePunct w:val="0"/>
              <w:autoSpaceDE/>
              <w:autoSpaceDN/>
              <w:bidi w:val="0"/>
              <w:adjustRightInd/>
              <w:snapToGrid/>
              <w:spacing w:line="240" w:lineRule="auto"/>
              <w:jc w:val="center"/>
              <w:rPr>
                <w:rFonts w:ascii="宋体" w:hAnsi="宋体" w:eastAsia="宋体" w:cs="宋体"/>
                <w:color w:val="auto"/>
                <w:kern w:val="0"/>
                <w:sz w:val="20"/>
                <w:szCs w:val="20"/>
              </w:rPr>
            </w:pPr>
            <w:r>
              <w:rPr>
                <w:rFonts w:hint="eastAsia" w:ascii="宋体" w:hAnsi="宋体" w:eastAsia="宋体" w:cs="宋体"/>
                <w:color w:val="auto"/>
                <w:kern w:val="0"/>
                <w:sz w:val="20"/>
                <w:szCs w:val="20"/>
              </w:rPr>
              <w:t>可持续影响指标</w:t>
            </w:r>
          </w:p>
        </w:tc>
        <w:tc>
          <w:tcPr>
            <w:tcW w:w="2872" w:type="dxa"/>
            <w:tcBorders>
              <w:tl2br w:val="nil"/>
              <w:tr2bl w:val="nil"/>
            </w:tcBorders>
            <w:vAlign w:val="center"/>
          </w:tcPr>
          <w:p w14:paraId="3B47BC55">
            <w:pPr>
              <w:keepNext w:val="0"/>
              <w:keepLines w:val="0"/>
              <w:widowControl/>
              <w:suppressLineNumbers w:val="0"/>
              <w:jc w:val="left"/>
              <w:textAlignment w:val="center"/>
              <w:rPr>
                <w:rFonts w:ascii="宋体" w:hAnsi="宋体" w:eastAsia="宋体" w:cs="宋体"/>
                <w:color w:val="auto"/>
                <w:kern w:val="0"/>
                <w:sz w:val="20"/>
                <w:szCs w:val="20"/>
              </w:rPr>
            </w:pPr>
            <w:r>
              <w:rPr>
                <w:rFonts w:hint="eastAsia" w:ascii="宋体" w:hAnsi="宋体" w:eastAsia="宋体" w:cs="宋体"/>
                <w:i w:val="0"/>
                <w:iCs w:val="0"/>
                <w:color w:val="auto"/>
                <w:kern w:val="0"/>
                <w:sz w:val="20"/>
                <w:szCs w:val="20"/>
                <w:u w:val="none"/>
                <w:lang w:val="en-US" w:eastAsia="zh-CN" w:bidi="ar"/>
              </w:rPr>
              <w:t>指标1：办公环境</w:t>
            </w:r>
          </w:p>
        </w:tc>
        <w:tc>
          <w:tcPr>
            <w:tcW w:w="4228" w:type="dxa"/>
            <w:gridSpan w:val="2"/>
            <w:tcBorders>
              <w:tl2br w:val="nil"/>
              <w:tr2bl w:val="nil"/>
            </w:tcBorders>
            <w:vAlign w:val="center"/>
          </w:tcPr>
          <w:p w14:paraId="1C31B430">
            <w:pPr>
              <w:keepNext w:val="0"/>
              <w:keepLines w:val="0"/>
              <w:widowControl/>
              <w:suppressLineNumbers w:val="0"/>
              <w:jc w:val="center"/>
              <w:textAlignment w:val="center"/>
              <w:rPr>
                <w:rFonts w:ascii="宋体" w:cs="宋体"/>
                <w:color w:val="auto"/>
                <w:kern w:val="0"/>
                <w:sz w:val="20"/>
                <w:szCs w:val="20"/>
              </w:rPr>
            </w:pPr>
            <w:r>
              <w:rPr>
                <w:rFonts w:hint="eastAsia" w:ascii="宋体" w:hAnsi="宋体" w:eastAsia="宋体" w:cs="宋体"/>
                <w:i w:val="0"/>
                <w:iCs w:val="0"/>
                <w:color w:val="auto"/>
                <w:kern w:val="0"/>
                <w:sz w:val="20"/>
                <w:szCs w:val="20"/>
                <w:u w:val="none"/>
                <w:lang w:val="en-US" w:eastAsia="zh-CN" w:bidi="ar"/>
              </w:rPr>
              <w:t>为职工营造舒适的办公环境</w:t>
            </w:r>
          </w:p>
        </w:tc>
      </w:tr>
      <w:tr w14:paraId="24B32B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3" w:hRule="atLeast"/>
          <w:jc w:val="center"/>
        </w:trPr>
        <w:tc>
          <w:tcPr>
            <w:tcW w:w="438" w:type="dxa"/>
            <w:vMerge w:val="continue"/>
            <w:tcBorders>
              <w:tl2br w:val="nil"/>
              <w:tr2bl w:val="nil"/>
            </w:tcBorders>
            <w:vAlign w:val="center"/>
          </w:tcPr>
          <w:p w14:paraId="004B8314">
            <w:pPr>
              <w:keepNext w:val="0"/>
              <w:keepLines w:val="0"/>
              <w:pageBreakBefore w:val="0"/>
              <w:kinsoku/>
              <w:wordWrap/>
              <w:overflowPunct/>
              <w:topLinePunct w:val="0"/>
              <w:autoSpaceDE/>
              <w:autoSpaceDN/>
              <w:bidi w:val="0"/>
              <w:adjustRightInd/>
              <w:snapToGrid/>
              <w:spacing w:line="240" w:lineRule="auto"/>
              <w:jc w:val="center"/>
              <w:rPr>
                <w:rFonts w:ascii="宋体" w:cs="宋体"/>
                <w:color w:val="auto"/>
                <w:kern w:val="0"/>
                <w:sz w:val="20"/>
                <w:szCs w:val="20"/>
              </w:rPr>
            </w:pPr>
          </w:p>
        </w:tc>
        <w:tc>
          <w:tcPr>
            <w:tcW w:w="723" w:type="dxa"/>
            <w:tcBorders>
              <w:tl2br w:val="nil"/>
              <w:tr2bl w:val="nil"/>
            </w:tcBorders>
            <w:vAlign w:val="center"/>
          </w:tcPr>
          <w:p w14:paraId="73155FE3">
            <w:pPr>
              <w:keepNext w:val="0"/>
              <w:keepLines w:val="0"/>
              <w:pageBreakBefore w:val="0"/>
              <w:widowControl/>
              <w:kinsoku/>
              <w:wordWrap/>
              <w:overflowPunct/>
              <w:topLinePunct w:val="0"/>
              <w:autoSpaceDE/>
              <w:autoSpaceDN/>
              <w:bidi w:val="0"/>
              <w:adjustRightInd/>
              <w:snapToGrid/>
              <w:spacing w:line="240" w:lineRule="auto"/>
              <w:jc w:val="center"/>
              <w:rPr>
                <w:rFonts w:ascii="宋体" w:hAnsi="宋体" w:eastAsia="宋体" w:cs="宋体"/>
                <w:color w:val="auto"/>
                <w:kern w:val="0"/>
                <w:sz w:val="20"/>
                <w:szCs w:val="20"/>
              </w:rPr>
            </w:pPr>
            <w:r>
              <w:rPr>
                <w:rFonts w:hint="eastAsia" w:ascii="宋体" w:hAnsi="宋体" w:eastAsia="宋体" w:cs="宋体"/>
                <w:color w:val="auto"/>
                <w:kern w:val="0"/>
                <w:sz w:val="20"/>
                <w:szCs w:val="20"/>
              </w:rPr>
              <w:t>满意度指标</w:t>
            </w:r>
          </w:p>
        </w:tc>
        <w:tc>
          <w:tcPr>
            <w:tcW w:w="759" w:type="dxa"/>
            <w:gridSpan w:val="2"/>
            <w:tcBorders>
              <w:tl2br w:val="nil"/>
              <w:tr2bl w:val="nil"/>
            </w:tcBorders>
            <w:vAlign w:val="center"/>
          </w:tcPr>
          <w:p w14:paraId="2426F87B">
            <w:pPr>
              <w:keepNext w:val="0"/>
              <w:keepLines w:val="0"/>
              <w:pageBreakBefore w:val="0"/>
              <w:widowControl/>
              <w:kinsoku/>
              <w:wordWrap/>
              <w:overflowPunct/>
              <w:topLinePunct w:val="0"/>
              <w:autoSpaceDE/>
              <w:autoSpaceDN/>
              <w:bidi w:val="0"/>
              <w:adjustRightInd/>
              <w:snapToGrid/>
              <w:spacing w:line="240" w:lineRule="auto"/>
              <w:jc w:val="center"/>
              <w:rPr>
                <w:rFonts w:ascii="宋体" w:hAnsi="宋体" w:eastAsia="宋体" w:cs="宋体"/>
                <w:color w:val="auto"/>
                <w:kern w:val="0"/>
                <w:sz w:val="20"/>
                <w:szCs w:val="20"/>
              </w:rPr>
            </w:pPr>
            <w:r>
              <w:rPr>
                <w:rFonts w:hint="eastAsia" w:ascii="宋体" w:hAnsi="宋体" w:eastAsia="宋体" w:cs="宋体"/>
                <w:color w:val="auto"/>
                <w:kern w:val="0"/>
                <w:sz w:val="20"/>
                <w:szCs w:val="20"/>
              </w:rPr>
              <w:t>满意度指标</w:t>
            </w:r>
          </w:p>
        </w:tc>
        <w:tc>
          <w:tcPr>
            <w:tcW w:w="2872" w:type="dxa"/>
            <w:tcBorders>
              <w:tl2br w:val="nil"/>
              <w:tr2bl w:val="nil"/>
            </w:tcBorders>
            <w:vAlign w:val="center"/>
          </w:tcPr>
          <w:p w14:paraId="7E175AC5">
            <w:pPr>
              <w:keepNext w:val="0"/>
              <w:keepLines w:val="0"/>
              <w:widowControl/>
              <w:suppressLineNumbers w:val="0"/>
              <w:jc w:val="left"/>
              <w:textAlignment w:val="center"/>
              <w:rPr>
                <w:rFonts w:ascii="宋体" w:hAnsi="宋体" w:eastAsia="宋体" w:cs="宋体"/>
                <w:color w:val="auto"/>
                <w:kern w:val="0"/>
                <w:sz w:val="20"/>
                <w:szCs w:val="20"/>
              </w:rPr>
            </w:pPr>
            <w:r>
              <w:rPr>
                <w:rFonts w:hint="eastAsia" w:ascii="宋体" w:hAnsi="宋体" w:eastAsia="宋体" w:cs="宋体"/>
                <w:i w:val="0"/>
                <w:iCs w:val="0"/>
                <w:color w:val="auto"/>
                <w:kern w:val="0"/>
                <w:sz w:val="20"/>
                <w:szCs w:val="20"/>
                <w:u w:val="none"/>
                <w:lang w:val="en-US" w:eastAsia="zh-CN" w:bidi="ar"/>
              </w:rPr>
              <w:t>指标1：服务对象满意度</w:t>
            </w:r>
          </w:p>
        </w:tc>
        <w:tc>
          <w:tcPr>
            <w:tcW w:w="4228" w:type="dxa"/>
            <w:gridSpan w:val="2"/>
            <w:tcBorders>
              <w:tl2br w:val="nil"/>
              <w:tr2bl w:val="nil"/>
            </w:tcBorders>
            <w:vAlign w:val="center"/>
          </w:tcPr>
          <w:p w14:paraId="30C25C76">
            <w:pPr>
              <w:keepNext w:val="0"/>
              <w:keepLines w:val="0"/>
              <w:widowControl/>
              <w:suppressLineNumbers w:val="0"/>
              <w:jc w:val="center"/>
              <w:textAlignment w:val="center"/>
              <w:rPr>
                <w:rFonts w:ascii="宋体" w:cs="宋体"/>
                <w:color w:val="auto"/>
                <w:kern w:val="0"/>
                <w:sz w:val="20"/>
                <w:szCs w:val="20"/>
              </w:rPr>
            </w:pPr>
            <w:r>
              <w:rPr>
                <w:rFonts w:hint="eastAsia" w:ascii="宋体" w:hAnsi="宋体" w:eastAsia="宋体" w:cs="宋体"/>
                <w:i w:val="0"/>
                <w:iCs w:val="0"/>
                <w:color w:val="auto"/>
                <w:kern w:val="0"/>
                <w:sz w:val="20"/>
                <w:szCs w:val="20"/>
                <w:u w:val="none"/>
                <w:lang w:val="en-US" w:eastAsia="zh-CN" w:bidi="ar"/>
              </w:rPr>
              <w:t>满意</w:t>
            </w:r>
          </w:p>
        </w:tc>
      </w:tr>
    </w:tbl>
    <w:p w14:paraId="13EF56BF">
      <w:pPr>
        <w:rPr>
          <w:color w:val="auto"/>
        </w:rPr>
      </w:pPr>
    </w:p>
    <w:p w14:paraId="079B510C">
      <w:pPr>
        <w:ind w:firstLine="640" w:firstLineChars="200"/>
        <w:rPr>
          <w:rFonts w:hint="eastAsia" w:ascii="仿宋" w:hAnsi="仿宋" w:eastAsia="仿宋" w:cs="仿宋"/>
          <w:color w:val="auto"/>
          <w:kern w:val="0"/>
          <w:sz w:val="32"/>
          <w:szCs w:val="32"/>
        </w:rPr>
      </w:pPr>
      <w:r>
        <w:rPr>
          <w:rFonts w:hint="eastAsia" w:ascii="仿宋" w:hAnsi="仿宋" w:eastAsia="仿宋" w:cs="仿宋"/>
          <w:color w:val="auto"/>
          <w:kern w:val="0"/>
          <w:sz w:val="32"/>
          <w:szCs w:val="32"/>
          <w:lang w:val="en-US" w:eastAsia="zh-CN"/>
        </w:rPr>
        <w:t>8</w:t>
      </w:r>
      <w:r>
        <w:rPr>
          <w:rFonts w:hint="eastAsia" w:ascii="仿宋" w:hAnsi="仿宋" w:eastAsia="仿宋" w:cs="仿宋"/>
          <w:color w:val="auto"/>
          <w:kern w:val="0"/>
          <w:sz w:val="32"/>
          <w:szCs w:val="32"/>
        </w:rPr>
        <w:t>、“市疾控中心大楼搬迁项目”项目。</w:t>
      </w:r>
    </w:p>
    <w:p w14:paraId="46E2A988">
      <w:pPr>
        <w:ind w:firstLine="640" w:firstLineChars="200"/>
        <w:rPr>
          <w:rFonts w:hint="eastAsia" w:ascii="仿宋" w:hAnsi="仿宋" w:eastAsia="仿宋" w:cs="仿宋"/>
          <w:color w:val="auto"/>
          <w:kern w:val="0"/>
          <w:sz w:val="32"/>
          <w:szCs w:val="32"/>
        </w:rPr>
      </w:pPr>
      <w:r>
        <w:rPr>
          <w:rFonts w:hint="eastAsia" w:ascii="仿宋" w:hAnsi="仿宋" w:eastAsia="仿宋" w:cs="仿宋"/>
          <w:color w:val="auto"/>
          <w:kern w:val="0"/>
          <w:sz w:val="32"/>
          <w:szCs w:val="32"/>
        </w:rPr>
        <w:t>（1）项目概述。中心新建办公楼和实验楼即将竣工验收，需申请预算新办公大楼整体搬迁费70万元，其中微生物、理化实验室需60万元，办公桌椅、办公设备、各类资料需10万元。</w:t>
      </w:r>
    </w:p>
    <w:p w14:paraId="58D31180">
      <w:pPr>
        <w:ind w:firstLine="640" w:firstLineChars="200"/>
        <w:rPr>
          <w:rFonts w:hint="default" w:ascii="仿宋" w:hAnsi="仿宋" w:eastAsia="仿宋" w:cs="仿宋"/>
          <w:color w:val="auto"/>
          <w:kern w:val="0"/>
          <w:sz w:val="32"/>
          <w:szCs w:val="32"/>
          <w:lang w:val="en-US" w:eastAsia="zh-CN"/>
        </w:rPr>
      </w:pPr>
      <w:r>
        <w:rPr>
          <w:rFonts w:hint="eastAsia" w:ascii="仿宋" w:hAnsi="仿宋" w:eastAsia="仿宋" w:cs="仿宋"/>
          <w:color w:val="auto"/>
          <w:kern w:val="0"/>
          <w:sz w:val="32"/>
          <w:szCs w:val="32"/>
        </w:rPr>
        <w:t>（2）立项依据。</w:t>
      </w:r>
      <w:r>
        <w:rPr>
          <w:rFonts w:hint="eastAsia" w:ascii="仿宋_GB2312" w:eastAsia="仿宋_GB2312"/>
          <w:color w:val="auto"/>
          <w:sz w:val="32"/>
          <w:szCs w:val="32"/>
        </w:rPr>
        <w:t>中心新建办公楼和实验楼即将竣工验收，需申请预算新办公大楼整体搬迁费70万元，其中微生物、理化实验室需60万元，办公桌椅、办公设备、各类资料需10万元</w:t>
      </w:r>
      <w:r>
        <w:rPr>
          <w:rFonts w:hint="eastAsia" w:ascii="仿宋" w:hAnsi="仿宋" w:eastAsia="仿宋" w:cs="仿宋"/>
          <w:color w:val="auto"/>
          <w:kern w:val="0"/>
          <w:sz w:val="32"/>
          <w:szCs w:val="32"/>
          <w:lang w:val="en-US" w:eastAsia="zh-CN"/>
        </w:rPr>
        <w:t>。</w:t>
      </w:r>
    </w:p>
    <w:p w14:paraId="5B48ED44">
      <w:pPr>
        <w:ind w:firstLine="640" w:firstLineChars="200"/>
        <w:rPr>
          <w:rFonts w:hint="eastAsia" w:ascii="仿宋" w:hAnsi="仿宋" w:eastAsia="仿宋" w:cs="仿宋"/>
          <w:color w:val="auto"/>
          <w:kern w:val="0"/>
          <w:sz w:val="32"/>
          <w:szCs w:val="32"/>
          <w:lang w:eastAsia="zh-CN"/>
        </w:rPr>
      </w:pPr>
      <w:r>
        <w:rPr>
          <w:rFonts w:hint="eastAsia" w:ascii="仿宋" w:hAnsi="仿宋" w:eastAsia="仿宋" w:cs="仿宋"/>
          <w:color w:val="auto"/>
          <w:kern w:val="0"/>
          <w:sz w:val="32"/>
          <w:szCs w:val="32"/>
        </w:rPr>
        <w:t>（3）实施主体。淮北市疾病预防控制中心</w:t>
      </w:r>
      <w:r>
        <w:rPr>
          <w:rFonts w:hint="eastAsia" w:ascii="仿宋" w:hAnsi="仿宋" w:eastAsia="仿宋" w:cs="仿宋"/>
          <w:color w:val="auto"/>
          <w:kern w:val="0"/>
          <w:sz w:val="32"/>
          <w:szCs w:val="32"/>
          <w:lang w:eastAsia="zh-CN"/>
        </w:rPr>
        <w:t>。</w:t>
      </w:r>
    </w:p>
    <w:p w14:paraId="19D3515E">
      <w:pPr>
        <w:ind w:firstLine="640" w:firstLineChars="200"/>
        <w:rPr>
          <w:rFonts w:hint="eastAsia" w:ascii="仿宋" w:hAnsi="仿宋" w:eastAsia="仿宋" w:cs="仿宋"/>
          <w:color w:val="auto"/>
          <w:kern w:val="0"/>
          <w:sz w:val="32"/>
          <w:szCs w:val="32"/>
          <w:lang w:eastAsia="zh-CN"/>
        </w:rPr>
      </w:pPr>
      <w:r>
        <w:rPr>
          <w:rFonts w:hint="eastAsia" w:ascii="仿宋" w:hAnsi="仿宋" w:eastAsia="仿宋" w:cs="仿宋"/>
          <w:color w:val="auto"/>
          <w:kern w:val="0"/>
          <w:sz w:val="32"/>
          <w:szCs w:val="32"/>
        </w:rPr>
        <w:t>（4）起止时间。202</w:t>
      </w:r>
      <w:r>
        <w:rPr>
          <w:rFonts w:hint="eastAsia" w:ascii="仿宋" w:hAnsi="仿宋" w:eastAsia="仿宋" w:cs="仿宋"/>
          <w:color w:val="auto"/>
          <w:kern w:val="0"/>
          <w:sz w:val="32"/>
          <w:szCs w:val="32"/>
          <w:lang w:val="en-US" w:eastAsia="zh-CN"/>
        </w:rPr>
        <w:t>5</w:t>
      </w:r>
      <w:r>
        <w:rPr>
          <w:rFonts w:hint="eastAsia" w:ascii="仿宋" w:hAnsi="仿宋" w:eastAsia="仿宋" w:cs="仿宋"/>
          <w:color w:val="auto"/>
          <w:kern w:val="0"/>
          <w:sz w:val="32"/>
          <w:szCs w:val="32"/>
        </w:rPr>
        <w:t>年1-12月</w:t>
      </w:r>
      <w:r>
        <w:rPr>
          <w:rFonts w:hint="eastAsia" w:ascii="仿宋" w:hAnsi="仿宋" w:eastAsia="仿宋" w:cs="仿宋"/>
          <w:color w:val="auto"/>
          <w:kern w:val="0"/>
          <w:sz w:val="32"/>
          <w:szCs w:val="32"/>
          <w:lang w:eastAsia="zh-CN"/>
        </w:rPr>
        <w:t>。</w:t>
      </w:r>
    </w:p>
    <w:p w14:paraId="16F22706">
      <w:pPr>
        <w:ind w:firstLine="640" w:firstLineChars="200"/>
        <w:rPr>
          <w:rFonts w:hint="eastAsia" w:ascii="仿宋" w:hAnsi="仿宋" w:eastAsia="仿宋" w:cs="仿宋"/>
          <w:color w:val="auto"/>
          <w:kern w:val="0"/>
          <w:sz w:val="32"/>
          <w:szCs w:val="32"/>
        </w:rPr>
      </w:pPr>
      <w:r>
        <w:rPr>
          <w:rFonts w:hint="eastAsia" w:ascii="仿宋" w:hAnsi="仿宋" w:eastAsia="仿宋" w:cs="仿宋"/>
          <w:color w:val="auto"/>
          <w:kern w:val="0"/>
          <w:sz w:val="32"/>
          <w:szCs w:val="32"/>
        </w:rPr>
        <w:t>（5）项目内容。</w:t>
      </w:r>
      <w:r>
        <w:rPr>
          <w:rFonts w:hint="eastAsia" w:ascii="仿宋" w:hAnsi="仿宋" w:eastAsia="仿宋" w:cs="仿宋"/>
          <w:color w:val="auto"/>
          <w:sz w:val="32"/>
          <w:szCs w:val="32"/>
        </w:rPr>
        <w:t>办公桌椅、办公设备、各类资料</w:t>
      </w:r>
      <w:r>
        <w:rPr>
          <w:rFonts w:hint="eastAsia" w:ascii="仿宋" w:hAnsi="仿宋" w:eastAsia="仿宋" w:cs="仿宋"/>
          <w:color w:val="auto"/>
          <w:sz w:val="32"/>
          <w:szCs w:val="32"/>
          <w:lang w:eastAsia="zh-CN"/>
        </w:rPr>
        <w:t>、</w:t>
      </w:r>
      <w:r>
        <w:rPr>
          <w:rFonts w:hint="eastAsia" w:ascii="仿宋" w:hAnsi="仿宋" w:eastAsia="仿宋" w:cs="仿宋"/>
          <w:color w:val="auto"/>
          <w:sz w:val="32"/>
          <w:szCs w:val="32"/>
        </w:rPr>
        <w:t>微生物</w:t>
      </w:r>
      <w:r>
        <w:rPr>
          <w:rFonts w:hint="eastAsia" w:ascii="仿宋" w:hAnsi="仿宋" w:eastAsia="仿宋" w:cs="仿宋"/>
          <w:color w:val="auto"/>
          <w:sz w:val="32"/>
          <w:szCs w:val="32"/>
          <w:lang w:val="en-US" w:eastAsia="zh-CN"/>
        </w:rPr>
        <w:t>及</w:t>
      </w:r>
      <w:r>
        <w:rPr>
          <w:rFonts w:hint="eastAsia" w:ascii="仿宋" w:hAnsi="仿宋" w:eastAsia="仿宋" w:cs="仿宋"/>
          <w:color w:val="auto"/>
          <w:sz w:val="32"/>
          <w:szCs w:val="32"/>
        </w:rPr>
        <w:t>理化实验室</w:t>
      </w:r>
      <w:r>
        <w:rPr>
          <w:rFonts w:hint="eastAsia" w:ascii="仿宋" w:hAnsi="仿宋" w:eastAsia="仿宋" w:cs="仿宋"/>
          <w:color w:val="auto"/>
          <w:sz w:val="32"/>
          <w:szCs w:val="32"/>
          <w:lang w:val="en-US" w:eastAsia="zh-CN"/>
        </w:rPr>
        <w:t>仪器设备、设施、试剂耗材、玻璃器皿搬运及设备设施拆卸、搬运、安装、调试、检定校准等各类后续服务。</w:t>
      </w:r>
    </w:p>
    <w:p w14:paraId="598B2015">
      <w:pPr>
        <w:ind w:firstLine="640" w:firstLineChars="200"/>
        <w:rPr>
          <w:rFonts w:hint="eastAsia" w:ascii="仿宋" w:hAnsi="仿宋" w:eastAsia="仿宋" w:cs="仿宋"/>
          <w:color w:val="auto"/>
          <w:kern w:val="0"/>
          <w:sz w:val="32"/>
          <w:szCs w:val="32"/>
          <w:lang w:val="en-US" w:eastAsia="zh-CN"/>
        </w:rPr>
      </w:pPr>
      <w:r>
        <w:rPr>
          <w:rFonts w:hint="eastAsia" w:ascii="仿宋" w:hAnsi="仿宋" w:eastAsia="仿宋" w:cs="仿宋"/>
          <w:color w:val="auto"/>
          <w:kern w:val="0"/>
          <w:sz w:val="32"/>
          <w:szCs w:val="32"/>
        </w:rPr>
        <w:t>（6）年度预算安排。</w:t>
      </w:r>
      <w:r>
        <w:rPr>
          <w:rFonts w:hint="eastAsia" w:ascii="仿宋" w:hAnsi="仿宋" w:eastAsia="仿宋" w:cs="仿宋"/>
          <w:color w:val="auto"/>
          <w:kern w:val="0"/>
          <w:sz w:val="32"/>
          <w:szCs w:val="32"/>
          <w:lang w:val="en-US" w:eastAsia="zh-CN"/>
        </w:rPr>
        <w:t>70</w:t>
      </w:r>
      <w:r>
        <w:rPr>
          <w:rFonts w:hint="eastAsia" w:ascii="仿宋" w:hAnsi="仿宋" w:eastAsia="仿宋" w:cs="仿宋"/>
          <w:color w:val="auto"/>
          <w:kern w:val="0"/>
          <w:sz w:val="32"/>
          <w:szCs w:val="32"/>
        </w:rPr>
        <w:t>万元。</w:t>
      </w:r>
    </w:p>
    <w:p w14:paraId="5DC32C23">
      <w:pPr>
        <w:ind w:firstLine="640" w:firstLineChars="200"/>
        <w:rPr>
          <w:rFonts w:ascii="TimesNewRoman" w:hAnsi="TimesNewRoman" w:eastAsia="仿宋_GB2312" w:cs="TimesNewRoman"/>
          <w:color w:val="auto"/>
          <w:kern w:val="0"/>
          <w:sz w:val="32"/>
          <w:szCs w:val="32"/>
        </w:rPr>
      </w:pPr>
      <w:r>
        <w:rPr>
          <w:rFonts w:hint="eastAsia" w:ascii="仿宋" w:hAnsi="仿宋" w:eastAsia="仿宋" w:cs="仿宋"/>
          <w:color w:val="auto"/>
          <w:kern w:val="0"/>
          <w:sz w:val="32"/>
          <w:szCs w:val="32"/>
        </w:rPr>
        <w:t>（7）绩效目标。保障机构正常运转，更好</w:t>
      </w:r>
      <w:r>
        <w:rPr>
          <w:rFonts w:hint="eastAsia" w:ascii="TimesNewRoman" w:hAnsi="TimesNewRoman" w:eastAsia="仿宋_GB2312" w:cs="TimesNewRoman"/>
          <w:color w:val="auto"/>
          <w:kern w:val="0"/>
          <w:sz w:val="32"/>
          <w:szCs w:val="32"/>
        </w:rPr>
        <w:t>地做好疾病预防控制工作，促进疾控事业高质量发展。</w:t>
      </w:r>
    </w:p>
    <w:tbl>
      <w:tblPr>
        <w:tblStyle w:val="5"/>
        <w:tblW w:w="90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38"/>
        <w:gridCol w:w="723"/>
        <w:gridCol w:w="282"/>
        <w:gridCol w:w="477"/>
        <w:gridCol w:w="2872"/>
        <w:gridCol w:w="1848"/>
        <w:gridCol w:w="2380"/>
      </w:tblGrid>
      <w:tr w14:paraId="545443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3" w:hRule="atLeast"/>
          <w:jc w:val="center"/>
        </w:trPr>
        <w:tc>
          <w:tcPr>
            <w:tcW w:w="9020" w:type="dxa"/>
            <w:gridSpan w:val="7"/>
            <w:tcBorders>
              <w:top w:val="nil"/>
              <w:left w:val="nil"/>
              <w:bottom w:val="nil"/>
              <w:right w:val="nil"/>
            </w:tcBorders>
            <w:vAlign w:val="center"/>
          </w:tcPr>
          <w:p w14:paraId="752F7747">
            <w:pPr>
              <w:widowControl/>
              <w:jc w:val="center"/>
              <w:textAlignment w:val="center"/>
              <w:rPr>
                <w:rFonts w:ascii="宋体" w:cs="宋体"/>
                <w:b/>
                <w:bCs/>
                <w:color w:val="auto"/>
                <w:szCs w:val="32"/>
              </w:rPr>
            </w:pPr>
            <w:r>
              <w:rPr>
                <w:rFonts w:hint="eastAsia" w:ascii="宋体" w:hAnsi="宋体" w:eastAsia="宋体" w:cs="宋体"/>
                <w:b/>
                <w:color w:val="auto"/>
                <w:kern w:val="0"/>
                <w:sz w:val="28"/>
                <w:szCs w:val="28"/>
              </w:rPr>
              <w:t>项目支出绩效目标表</w:t>
            </w:r>
          </w:p>
        </w:tc>
      </w:tr>
      <w:tr w14:paraId="707A71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9020" w:type="dxa"/>
            <w:gridSpan w:val="7"/>
            <w:tcBorders>
              <w:top w:val="nil"/>
              <w:left w:val="nil"/>
              <w:right w:val="nil"/>
            </w:tcBorders>
            <w:vAlign w:val="center"/>
          </w:tcPr>
          <w:p w14:paraId="743C6C72">
            <w:pPr>
              <w:widowControl/>
              <w:jc w:val="center"/>
              <w:textAlignment w:val="center"/>
              <w:rPr>
                <w:rFonts w:ascii="宋体" w:cs="宋体"/>
                <w:color w:val="auto"/>
                <w:sz w:val="20"/>
              </w:rPr>
            </w:pPr>
            <w:r>
              <w:rPr>
                <w:rFonts w:hint="eastAsia" w:ascii="宋体" w:hAnsi="宋体" w:eastAsia="宋体" w:cs="宋体"/>
                <w:color w:val="auto"/>
                <w:kern w:val="0"/>
                <w:sz w:val="20"/>
                <w:szCs w:val="20"/>
              </w:rPr>
              <w:t xml:space="preserve"> （2025年度）                                </w:t>
            </w:r>
          </w:p>
        </w:tc>
      </w:tr>
      <w:tr w14:paraId="436697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jc w:val="center"/>
        </w:trPr>
        <w:tc>
          <w:tcPr>
            <w:tcW w:w="1443" w:type="dxa"/>
            <w:gridSpan w:val="3"/>
            <w:tcBorders>
              <w:tl2br w:val="nil"/>
              <w:tr2bl w:val="nil"/>
            </w:tcBorders>
            <w:vAlign w:val="center"/>
          </w:tcPr>
          <w:p w14:paraId="1ADD90CD">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ascii="宋体" w:cs="宋体"/>
                <w:color w:val="auto"/>
                <w:kern w:val="0"/>
                <w:sz w:val="20"/>
                <w:szCs w:val="20"/>
              </w:rPr>
            </w:pPr>
            <w:r>
              <w:rPr>
                <w:rFonts w:hint="eastAsia" w:ascii="宋体" w:hAnsi="宋体" w:eastAsia="宋体" w:cs="宋体"/>
                <w:color w:val="auto"/>
                <w:kern w:val="0"/>
                <w:sz w:val="20"/>
                <w:szCs w:val="20"/>
              </w:rPr>
              <w:t>项目名称</w:t>
            </w:r>
          </w:p>
        </w:tc>
        <w:tc>
          <w:tcPr>
            <w:tcW w:w="7577" w:type="dxa"/>
            <w:gridSpan w:val="4"/>
            <w:tcBorders>
              <w:tl2br w:val="nil"/>
              <w:tr2bl w:val="nil"/>
            </w:tcBorders>
            <w:vAlign w:val="center"/>
          </w:tcPr>
          <w:p w14:paraId="1C68F39E">
            <w:pPr>
              <w:keepNext w:val="0"/>
              <w:keepLines w:val="0"/>
              <w:pageBreakBefore w:val="0"/>
              <w:kinsoku/>
              <w:wordWrap/>
              <w:overflowPunct/>
              <w:topLinePunct w:val="0"/>
              <w:autoSpaceDE/>
              <w:autoSpaceDN/>
              <w:bidi w:val="0"/>
              <w:adjustRightInd/>
              <w:snapToGrid/>
              <w:spacing w:line="240" w:lineRule="auto"/>
              <w:jc w:val="center"/>
              <w:rPr>
                <w:rFonts w:ascii="宋体" w:cs="宋体"/>
                <w:color w:val="auto"/>
                <w:kern w:val="0"/>
                <w:sz w:val="20"/>
                <w:szCs w:val="20"/>
              </w:rPr>
            </w:pPr>
            <w:r>
              <w:rPr>
                <w:rFonts w:hint="eastAsia" w:ascii="宋体" w:cs="宋体"/>
                <w:color w:val="auto"/>
                <w:kern w:val="0"/>
                <w:sz w:val="20"/>
                <w:szCs w:val="20"/>
              </w:rPr>
              <w:t>市疾控中心大楼搬迁项目</w:t>
            </w:r>
          </w:p>
        </w:tc>
      </w:tr>
      <w:tr w14:paraId="52195F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1" w:hRule="atLeast"/>
          <w:jc w:val="center"/>
        </w:trPr>
        <w:tc>
          <w:tcPr>
            <w:tcW w:w="1443" w:type="dxa"/>
            <w:gridSpan w:val="3"/>
            <w:tcBorders>
              <w:tl2br w:val="nil"/>
              <w:tr2bl w:val="nil"/>
            </w:tcBorders>
            <w:vAlign w:val="center"/>
          </w:tcPr>
          <w:p w14:paraId="6BF89523">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ascii="宋体" w:cs="宋体"/>
                <w:color w:val="auto"/>
                <w:kern w:val="0"/>
                <w:sz w:val="20"/>
                <w:szCs w:val="20"/>
              </w:rPr>
            </w:pPr>
            <w:r>
              <w:rPr>
                <w:rFonts w:hint="eastAsia" w:ascii="宋体" w:hAnsi="宋体" w:eastAsia="宋体" w:cs="宋体"/>
                <w:color w:val="auto"/>
                <w:kern w:val="0"/>
                <w:sz w:val="20"/>
                <w:szCs w:val="20"/>
              </w:rPr>
              <w:t>主管部门   及代码</w:t>
            </w:r>
          </w:p>
        </w:tc>
        <w:tc>
          <w:tcPr>
            <w:tcW w:w="3349" w:type="dxa"/>
            <w:gridSpan w:val="2"/>
            <w:tcBorders>
              <w:tl2br w:val="nil"/>
              <w:tr2bl w:val="nil"/>
            </w:tcBorders>
            <w:vAlign w:val="center"/>
          </w:tcPr>
          <w:p w14:paraId="403047D9">
            <w:pPr>
              <w:keepNext w:val="0"/>
              <w:keepLines w:val="0"/>
              <w:pageBreakBefore w:val="0"/>
              <w:kinsoku/>
              <w:wordWrap/>
              <w:overflowPunct/>
              <w:topLinePunct w:val="0"/>
              <w:autoSpaceDE/>
              <w:autoSpaceDN/>
              <w:bidi w:val="0"/>
              <w:adjustRightInd/>
              <w:snapToGrid/>
              <w:spacing w:line="240" w:lineRule="auto"/>
              <w:jc w:val="center"/>
              <w:rPr>
                <w:rFonts w:ascii="宋体" w:cs="宋体"/>
                <w:color w:val="auto"/>
                <w:kern w:val="0"/>
                <w:sz w:val="20"/>
                <w:szCs w:val="20"/>
              </w:rPr>
            </w:pPr>
            <w:r>
              <w:rPr>
                <w:rFonts w:hint="eastAsia" w:ascii="宋体" w:hAnsi="宋体" w:eastAsia="宋体" w:cs="宋体"/>
                <w:color w:val="auto"/>
                <w:kern w:val="0"/>
                <w:sz w:val="20"/>
                <w:szCs w:val="20"/>
              </w:rPr>
              <w:t>[076]淮北市卫生健康委员会</w:t>
            </w:r>
          </w:p>
        </w:tc>
        <w:tc>
          <w:tcPr>
            <w:tcW w:w="1848" w:type="dxa"/>
            <w:tcBorders>
              <w:tl2br w:val="nil"/>
              <w:tr2bl w:val="nil"/>
            </w:tcBorders>
            <w:vAlign w:val="center"/>
          </w:tcPr>
          <w:p w14:paraId="2702885D">
            <w:pPr>
              <w:keepNext w:val="0"/>
              <w:keepLines w:val="0"/>
              <w:pageBreakBefore w:val="0"/>
              <w:widowControl/>
              <w:kinsoku/>
              <w:wordWrap/>
              <w:overflowPunct/>
              <w:topLinePunct w:val="0"/>
              <w:autoSpaceDE/>
              <w:autoSpaceDN/>
              <w:bidi w:val="0"/>
              <w:adjustRightInd/>
              <w:snapToGrid/>
              <w:spacing w:line="240" w:lineRule="auto"/>
              <w:jc w:val="center"/>
              <w:textAlignment w:val="center"/>
              <w:rPr>
                <w:color w:val="auto"/>
                <w:kern w:val="0"/>
                <w:sz w:val="20"/>
                <w:szCs w:val="20"/>
              </w:rPr>
            </w:pPr>
            <w:r>
              <w:rPr>
                <w:rFonts w:hint="eastAsia" w:ascii="宋体" w:hAnsi="宋体" w:eastAsia="宋体" w:cs="宋体"/>
                <w:color w:val="auto"/>
                <w:kern w:val="0"/>
                <w:sz w:val="20"/>
                <w:szCs w:val="20"/>
              </w:rPr>
              <w:t>实施单位</w:t>
            </w:r>
          </w:p>
        </w:tc>
        <w:tc>
          <w:tcPr>
            <w:tcW w:w="2380" w:type="dxa"/>
            <w:tcBorders>
              <w:tl2br w:val="nil"/>
              <w:tr2bl w:val="nil"/>
            </w:tcBorders>
            <w:shd w:val="clear" w:color="auto" w:fill="auto"/>
            <w:vAlign w:val="center"/>
          </w:tcPr>
          <w:p w14:paraId="492F0985">
            <w:pPr>
              <w:keepNext w:val="0"/>
              <w:keepLines w:val="0"/>
              <w:pageBreakBefore w:val="0"/>
              <w:widowControl/>
              <w:kinsoku/>
              <w:wordWrap/>
              <w:overflowPunct/>
              <w:topLinePunct w:val="0"/>
              <w:autoSpaceDE/>
              <w:autoSpaceDN/>
              <w:bidi w:val="0"/>
              <w:adjustRightInd/>
              <w:snapToGrid/>
              <w:spacing w:line="240" w:lineRule="auto"/>
              <w:jc w:val="center"/>
              <w:rPr>
                <w:rFonts w:ascii="宋体" w:hAnsi="宋体" w:eastAsia="宋体" w:cs="宋体"/>
                <w:color w:val="auto"/>
                <w:kern w:val="0"/>
                <w:sz w:val="20"/>
                <w:szCs w:val="20"/>
                <w:lang w:val="en-US" w:eastAsia="zh-CN" w:bidi="ar-SA"/>
              </w:rPr>
            </w:pPr>
            <w:r>
              <w:rPr>
                <w:rFonts w:hint="eastAsia" w:ascii="宋体" w:hAnsi="宋体" w:eastAsia="宋体" w:cs="宋体"/>
                <w:color w:val="auto"/>
                <w:kern w:val="0"/>
                <w:sz w:val="20"/>
                <w:szCs w:val="20"/>
              </w:rPr>
              <w:t>淮北市疾病预防控制中心</w:t>
            </w:r>
          </w:p>
        </w:tc>
      </w:tr>
      <w:tr w14:paraId="156A51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jc w:val="center"/>
        </w:trPr>
        <w:tc>
          <w:tcPr>
            <w:tcW w:w="1443" w:type="dxa"/>
            <w:gridSpan w:val="3"/>
            <w:tcBorders>
              <w:tl2br w:val="nil"/>
              <w:tr2bl w:val="nil"/>
            </w:tcBorders>
            <w:vAlign w:val="center"/>
          </w:tcPr>
          <w:p w14:paraId="4B51670B">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ascii="宋体" w:cs="宋体"/>
                <w:color w:val="auto"/>
                <w:kern w:val="0"/>
                <w:sz w:val="20"/>
                <w:szCs w:val="20"/>
              </w:rPr>
            </w:pPr>
            <w:r>
              <w:rPr>
                <w:rFonts w:hint="eastAsia" w:ascii="宋体" w:hAnsi="宋体" w:eastAsia="宋体" w:cs="宋体"/>
                <w:color w:val="auto"/>
                <w:kern w:val="0"/>
                <w:sz w:val="20"/>
                <w:szCs w:val="20"/>
              </w:rPr>
              <w:t>项目来源</w:t>
            </w:r>
          </w:p>
        </w:tc>
        <w:tc>
          <w:tcPr>
            <w:tcW w:w="3349" w:type="dxa"/>
            <w:gridSpan w:val="2"/>
            <w:tcBorders>
              <w:tl2br w:val="nil"/>
              <w:tr2bl w:val="nil"/>
            </w:tcBorders>
            <w:vAlign w:val="center"/>
          </w:tcPr>
          <w:p w14:paraId="04403806">
            <w:pPr>
              <w:keepNext w:val="0"/>
              <w:keepLines w:val="0"/>
              <w:pageBreakBefore w:val="0"/>
              <w:kinsoku/>
              <w:wordWrap/>
              <w:overflowPunct/>
              <w:topLinePunct w:val="0"/>
              <w:autoSpaceDE/>
              <w:autoSpaceDN/>
              <w:bidi w:val="0"/>
              <w:adjustRightInd/>
              <w:snapToGrid/>
              <w:spacing w:line="240" w:lineRule="auto"/>
              <w:jc w:val="center"/>
              <w:rPr>
                <w:rFonts w:ascii="宋体" w:cs="宋体"/>
                <w:color w:val="auto"/>
                <w:kern w:val="0"/>
                <w:sz w:val="20"/>
                <w:szCs w:val="20"/>
              </w:rPr>
            </w:pPr>
          </w:p>
        </w:tc>
        <w:tc>
          <w:tcPr>
            <w:tcW w:w="1848" w:type="dxa"/>
            <w:tcBorders>
              <w:tl2br w:val="nil"/>
              <w:tr2bl w:val="nil"/>
            </w:tcBorders>
            <w:vAlign w:val="center"/>
          </w:tcPr>
          <w:p w14:paraId="7E4FEDB3">
            <w:pPr>
              <w:keepNext w:val="0"/>
              <w:keepLines w:val="0"/>
              <w:pageBreakBefore w:val="0"/>
              <w:widowControl/>
              <w:kinsoku/>
              <w:wordWrap/>
              <w:overflowPunct/>
              <w:topLinePunct w:val="0"/>
              <w:autoSpaceDE/>
              <w:autoSpaceDN/>
              <w:bidi w:val="0"/>
              <w:adjustRightInd/>
              <w:snapToGrid/>
              <w:spacing w:line="240" w:lineRule="auto"/>
              <w:jc w:val="center"/>
              <w:textAlignment w:val="center"/>
              <w:rPr>
                <w:color w:val="auto"/>
                <w:kern w:val="0"/>
                <w:sz w:val="20"/>
                <w:szCs w:val="20"/>
              </w:rPr>
            </w:pPr>
            <w:r>
              <w:rPr>
                <w:rFonts w:hint="eastAsia" w:ascii="宋体" w:hAnsi="宋体" w:eastAsia="宋体" w:cs="宋体"/>
                <w:color w:val="auto"/>
                <w:kern w:val="0"/>
                <w:sz w:val="20"/>
                <w:szCs w:val="20"/>
              </w:rPr>
              <w:t>项目期</w:t>
            </w:r>
          </w:p>
        </w:tc>
        <w:tc>
          <w:tcPr>
            <w:tcW w:w="2380" w:type="dxa"/>
            <w:tcBorders>
              <w:tl2br w:val="nil"/>
              <w:tr2bl w:val="nil"/>
            </w:tcBorders>
            <w:shd w:val="clear" w:color="auto" w:fill="auto"/>
            <w:vAlign w:val="center"/>
          </w:tcPr>
          <w:p w14:paraId="6B4D146A">
            <w:pPr>
              <w:keepNext w:val="0"/>
              <w:keepLines w:val="0"/>
              <w:pageBreakBefore w:val="0"/>
              <w:widowControl/>
              <w:kinsoku/>
              <w:wordWrap/>
              <w:overflowPunct/>
              <w:topLinePunct w:val="0"/>
              <w:autoSpaceDE/>
              <w:autoSpaceDN/>
              <w:bidi w:val="0"/>
              <w:adjustRightInd/>
              <w:snapToGrid/>
              <w:spacing w:line="240" w:lineRule="auto"/>
              <w:jc w:val="center"/>
              <w:rPr>
                <w:rFonts w:ascii="宋体" w:hAnsi="宋体" w:eastAsia="宋体" w:cs="宋体"/>
                <w:color w:val="auto"/>
                <w:kern w:val="0"/>
                <w:sz w:val="20"/>
                <w:szCs w:val="20"/>
                <w:lang w:val="en-US" w:eastAsia="zh-CN" w:bidi="ar-SA"/>
              </w:rPr>
            </w:pPr>
            <w:r>
              <w:rPr>
                <w:rFonts w:hint="eastAsia" w:ascii="宋体" w:hAnsi="宋体" w:eastAsia="宋体" w:cs="宋体"/>
                <w:color w:val="auto"/>
                <w:kern w:val="0"/>
                <w:sz w:val="20"/>
                <w:szCs w:val="20"/>
              </w:rPr>
              <w:t>1年</w:t>
            </w:r>
          </w:p>
        </w:tc>
      </w:tr>
      <w:tr w14:paraId="4B256E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jc w:val="center"/>
        </w:trPr>
        <w:tc>
          <w:tcPr>
            <w:tcW w:w="1443" w:type="dxa"/>
            <w:gridSpan w:val="3"/>
            <w:vMerge w:val="restart"/>
            <w:tcBorders>
              <w:tl2br w:val="nil"/>
              <w:tr2bl w:val="nil"/>
            </w:tcBorders>
            <w:vAlign w:val="center"/>
          </w:tcPr>
          <w:p w14:paraId="7C40F77E">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ascii="宋体" w:cs="宋体"/>
                <w:color w:val="auto"/>
                <w:kern w:val="0"/>
                <w:sz w:val="20"/>
                <w:szCs w:val="20"/>
              </w:rPr>
            </w:pPr>
            <w:r>
              <w:rPr>
                <w:rFonts w:hint="eastAsia" w:ascii="宋体" w:hAnsi="宋体" w:eastAsia="宋体" w:cs="宋体"/>
                <w:color w:val="auto"/>
                <w:kern w:val="0"/>
                <w:sz w:val="20"/>
                <w:szCs w:val="20"/>
              </w:rPr>
              <w:t>项目资金</w:t>
            </w:r>
            <w:r>
              <w:rPr>
                <w:rFonts w:hint="eastAsia" w:ascii="宋体" w:hAnsi="宋体" w:eastAsia="宋体" w:cs="宋体"/>
                <w:color w:val="auto"/>
                <w:kern w:val="0"/>
                <w:sz w:val="20"/>
                <w:szCs w:val="20"/>
              </w:rPr>
              <w:br w:type="textWrapping"/>
            </w:r>
            <w:r>
              <w:rPr>
                <w:rFonts w:hint="eastAsia" w:ascii="宋体" w:hAnsi="宋体" w:eastAsia="宋体" w:cs="宋体"/>
                <w:color w:val="auto"/>
                <w:kern w:val="0"/>
                <w:sz w:val="20"/>
                <w:szCs w:val="20"/>
              </w:rPr>
              <w:t>（万元）</w:t>
            </w:r>
          </w:p>
        </w:tc>
        <w:tc>
          <w:tcPr>
            <w:tcW w:w="3349" w:type="dxa"/>
            <w:gridSpan w:val="2"/>
            <w:tcBorders>
              <w:tl2br w:val="nil"/>
              <w:tr2bl w:val="nil"/>
            </w:tcBorders>
            <w:vAlign w:val="center"/>
          </w:tcPr>
          <w:p w14:paraId="76D7C996">
            <w:pPr>
              <w:keepNext w:val="0"/>
              <w:keepLines w:val="0"/>
              <w:pageBreakBefore w:val="0"/>
              <w:widowControl/>
              <w:kinsoku/>
              <w:wordWrap/>
              <w:overflowPunct/>
              <w:topLinePunct w:val="0"/>
              <w:autoSpaceDE/>
              <w:autoSpaceDN/>
              <w:bidi w:val="0"/>
              <w:adjustRightInd/>
              <w:snapToGrid/>
              <w:spacing w:line="240" w:lineRule="auto"/>
              <w:jc w:val="left"/>
              <w:textAlignment w:val="center"/>
              <w:rPr>
                <w:rFonts w:ascii="宋体" w:cs="宋体"/>
                <w:color w:val="auto"/>
                <w:kern w:val="0"/>
                <w:sz w:val="20"/>
                <w:szCs w:val="20"/>
              </w:rPr>
            </w:pPr>
            <w:r>
              <w:rPr>
                <w:rFonts w:hint="eastAsia" w:ascii="宋体" w:hAnsi="宋体" w:eastAsia="宋体" w:cs="宋体"/>
                <w:color w:val="auto"/>
                <w:kern w:val="0"/>
                <w:sz w:val="20"/>
                <w:szCs w:val="20"/>
              </w:rPr>
              <w:t xml:space="preserve"> 年度资金总额：</w:t>
            </w:r>
          </w:p>
        </w:tc>
        <w:tc>
          <w:tcPr>
            <w:tcW w:w="4228" w:type="dxa"/>
            <w:gridSpan w:val="2"/>
            <w:tcBorders>
              <w:tl2br w:val="nil"/>
              <w:tr2bl w:val="nil"/>
            </w:tcBorders>
            <w:shd w:val="clear" w:color="auto" w:fill="auto"/>
            <w:vAlign w:val="center"/>
          </w:tcPr>
          <w:p w14:paraId="1934189E">
            <w:pPr>
              <w:keepNext w:val="0"/>
              <w:keepLines w:val="0"/>
              <w:pageBreakBefore w:val="0"/>
              <w:widowControl/>
              <w:kinsoku/>
              <w:wordWrap/>
              <w:overflowPunct/>
              <w:topLinePunct w:val="0"/>
              <w:autoSpaceDE/>
              <w:autoSpaceDN/>
              <w:bidi w:val="0"/>
              <w:adjustRightInd/>
              <w:snapToGrid/>
              <w:spacing w:line="240" w:lineRule="auto"/>
              <w:jc w:val="right"/>
              <w:rPr>
                <w:rFonts w:hint="default" w:ascii="宋体" w:hAnsi="宋体" w:eastAsia="宋体" w:cs="宋体"/>
                <w:color w:val="auto"/>
                <w:kern w:val="0"/>
                <w:sz w:val="20"/>
                <w:szCs w:val="20"/>
                <w:lang w:val="en-US" w:eastAsia="zh-CN" w:bidi="ar-SA"/>
              </w:rPr>
            </w:pPr>
            <w:r>
              <w:rPr>
                <w:rFonts w:hint="eastAsia" w:ascii="宋体" w:hAnsi="宋体" w:eastAsia="宋体" w:cs="宋体"/>
                <w:color w:val="auto"/>
                <w:kern w:val="0"/>
                <w:sz w:val="20"/>
                <w:szCs w:val="20"/>
                <w:lang w:val="en-US" w:eastAsia="zh-CN" w:bidi="ar-SA"/>
              </w:rPr>
              <w:t>70.00</w:t>
            </w:r>
          </w:p>
        </w:tc>
      </w:tr>
      <w:tr w14:paraId="374605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jc w:val="center"/>
        </w:trPr>
        <w:tc>
          <w:tcPr>
            <w:tcW w:w="1443" w:type="dxa"/>
            <w:gridSpan w:val="3"/>
            <w:vMerge w:val="continue"/>
            <w:tcBorders>
              <w:tl2br w:val="nil"/>
              <w:tr2bl w:val="nil"/>
            </w:tcBorders>
            <w:vAlign w:val="center"/>
          </w:tcPr>
          <w:p w14:paraId="0489B155">
            <w:pPr>
              <w:keepNext w:val="0"/>
              <w:keepLines w:val="0"/>
              <w:pageBreakBefore w:val="0"/>
              <w:kinsoku/>
              <w:wordWrap/>
              <w:overflowPunct/>
              <w:topLinePunct w:val="0"/>
              <w:autoSpaceDE/>
              <w:autoSpaceDN/>
              <w:bidi w:val="0"/>
              <w:adjustRightInd/>
              <w:snapToGrid/>
              <w:spacing w:line="240" w:lineRule="auto"/>
              <w:jc w:val="center"/>
              <w:rPr>
                <w:rFonts w:ascii="宋体" w:cs="宋体"/>
                <w:color w:val="auto"/>
                <w:kern w:val="0"/>
                <w:sz w:val="20"/>
                <w:szCs w:val="20"/>
              </w:rPr>
            </w:pPr>
          </w:p>
        </w:tc>
        <w:tc>
          <w:tcPr>
            <w:tcW w:w="3349" w:type="dxa"/>
            <w:gridSpan w:val="2"/>
            <w:tcBorders>
              <w:tl2br w:val="nil"/>
              <w:tr2bl w:val="nil"/>
            </w:tcBorders>
            <w:vAlign w:val="center"/>
          </w:tcPr>
          <w:p w14:paraId="03FFC33E">
            <w:pPr>
              <w:keepNext w:val="0"/>
              <w:keepLines w:val="0"/>
              <w:pageBreakBefore w:val="0"/>
              <w:widowControl/>
              <w:kinsoku/>
              <w:wordWrap/>
              <w:overflowPunct/>
              <w:topLinePunct w:val="0"/>
              <w:autoSpaceDE/>
              <w:autoSpaceDN/>
              <w:bidi w:val="0"/>
              <w:adjustRightInd/>
              <w:snapToGrid/>
              <w:spacing w:line="240" w:lineRule="auto"/>
              <w:jc w:val="left"/>
              <w:textAlignment w:val="center"/>
              <w:rPr>
                <w:rFonts w:ascii="宋体" w:cs="宋体"/>
                <w:color w:val="auto"/>
                <w:kern w:val="0"/>
                <w:sz w:val="20"/>
                <w:szCs w:val="20"/>
              </w:rPr>
            </w:pPr>
            <w:r>
              <w:rPr>
                <w:rFonts w:hint="eastAsia" w:ascii="宋体" w:hAnsi="宋体" w:eastAsia="宋体" w:cs="宋体"/>
                <w:color w:val="auto"/>
                <w:kern w:val="0"/>
                <w:sz w:val="20"/>
                <w:szCs w:val="20"/>
              </w:rPr>
              <w:t xml:space="preserve">   其中：财政拨款</w:t>
            </w:r>
          </w:p>
        </w:tc>
        <w:tc>
          <w:tcPr>
            <w:tcW w:w="4228" w:type="dxa"/>
            <w:gridSpan w:val="2"/>
            <w:tcBorders>
              <w:tl2br w:val="nil"/>
              <w:tr2bl w:val="nil"/>
            </w:tcBorders>
            <w:shd w:val="clear" w:color="auto" w:fill="auto"/>
            <w:vAlign w:val="center"/>
          </w:tcPr>
          <w:p w14:paraId="731CB5E9">
            <w:pPr>
              <w:keepNext w:val="0"/>
              <w:keepLines w:val="0"/>
              <w:pageBreakBefore w:val="0"/>
              <w:widowControl/>
              <w:kinsoku/>
              <w:wordWrap/>
              <w:overflowPunct/>
              <w:topLinePunct w:val="0"/>
              <w:autoSpaceDE/>
              <w:autoSpaceDN/>
              <w:bidi w:val="0"/>
              <w:adjustRightInd/>
              <w:snapToGrid/>
              <w:spacing w:line="240" w:lineRule="auto"/>
              <w:jc w:val="right"/>
              <w:rPr>
                <w:rFonts w:hint="default" w:ascii="宋体" w:hAnsi="宋体" w:eastAsia="宋体" w:cs="宋体"/>
                <w:color w:val="auto"/>
                <w:kern w:val="0"/>
                <w:sz w:val="20"/>
                <w:szCs w:val="20"/>
                <w:lang w:val="en-US" w:eastAsia="zh-CN" w:bidi="ar-SA"/>
              </w:rPr>
            </w:pPr>
            <w:r>
              <w:rPr>
                <w:rFonts w:hint="eastAsia" w:ascii="宋体" w:hAnsi="宋体" w:eastAsia="宋体" w:cs="宋体"/>
                <w:color w:val="auto"/>
                <w:kern w:val="0"/>
                <w:sz w:val="20"/>
                <w:szCs w:val="20"/>
                <w:lang w:val="en-US" w:eastAsia="zh-CN" w:bidi="ar-SA"/>
              </w:rPr>
              <w:t>70.00</w:t>
            </w:r>
          </w:p>
        </w:tc>
      </w:tr>
      <w:tr w14:paraId="3BBCFF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jc w:val="center"/>
        </w:trPr>
        <w:tc>
          <w:tcPr>
            <w:tcW w:w="1443" w:type="dxa"/>
            <w:gridSpan w:val="3"/>
            <w:vMerge w:val="continue"/>
            <w:tcBorders>
              <w:tl2br w:val="nil"/>
              <w:tr2bl w:val="nil"/>
            </w:tcBorders>
            <w:vAlign w:val="center"/>
          </w:tcPr>
          <w:p w14:paraId="5FFFBD46">
            <w:pPr>
              <w:keepNext w:val="0"/>
              <w:keepLines w:val="0"/>
              <w:pageBreakBefore w:val="0"/>
              <w:kinsoku/>
              <w:wordWrap/>
              <w:overflowPunct/>
              <w:topLinePunct w:val="0"/>
              <w:autoSpaceDE/>
              <w:autoSpaceDN/>
              <w:bidi w:val="0"/>
              <w:adjustRightInd/>
              <w:snapToGrid/>
              <w:spacing w:line="240" w:lineRule="auto"/>
              <w:jc w:val="center"/>
              <w:rPr>
                <w:rFonts w:ascii="宋体" w:cs="宋体"/>
                <w:color w:val="auto"/>
                <w:kern w:val="0"/>
                <w:sz w:val="20"/>
                <w:szCs w:val="20"/>
              </w:rPr>
            </w:pPr>
          </w:p>
        </w:tc>
        <w:tc>
          <w:tcPr>
            <w:tcW w:w="3349" w:type="dxa"/>
            <w:gridSpan w:val="2"/>
            <w:tcBorders>
              <w:tl2br w:val="nil"/>
              <w:tr2bl w:val="nil"/>
            </w:tcBorders>
            <w:vAlign w:val="center"/>
          </w:tcPr>
          <w:p w14:paraId="0F067BE1">
            <w:pPr>
              <w:keepNext w:val="0"/>
              <w:keepLines w:val="0"/>
              <w:pageBreakBefore w:val="0"/>
              <w:widowControl/>
              <w:kinsoku/>
              <w:wordWrap/>
              <w:overflowPunct/>
              <w:topLinePunct w:val="0"/>
              <w:autoSpaceDE/>
              <w:autoSpaceDN/>
              <w:bidi w:val="0"/>
              <w:adjustRightInd/>
              <w:snapToGrid/>
              <w:spacing w:line="240" w:lineRule="auto"/>
              <w:jc w:val="left"/>
              <w:textAlignment w:val="center"/>
              <w:rPr>
                <w:rFonts w:ascii="宋体" w:cs="宋体"/>
                <w:color w:val="auto"/>
                <w:kern w:val="0"/>
                <w:sz w:val="20"/>
                <w:szCs w:val="20"/>
              </w:rPr>
            </w:pPr>
            <w:r>
              <w:rPr>
                <w:rFonts w:hint="eastAsia" w:ascii="宋体" w:hAnsi="宋体" w:eastAsia="宋体" w:cs="宋体"/>
                <w:color w:val="auto"/>
                <w:kern w:val="0"/>
                <w:sz w:val="20"/>
                <w:szCs w:val="20"/>
              </w:rPr>
              <w:t xml:space="preserve">         上年结转</w:t>
            </w:r>
          </w:p>
        </w:tc>
        <w:tc>
          <w:tcPr>
            <w:tcW w:w="4228" w:type="dxa"/>
            <w:gridSpan w:val="2"/>
            <w:tcBorders>
              <w:tl2br w:val="nil"/>
              <w:tr2bl w:val="nil"/>
            </w:tcBorders>
            <w:shd w:val="clear" w:color="auto" w:fill="auto"/>
            <w:vAlign w:val="center"/>
          </w:tcPr>
          <w:p w14:paraId="5EE23F62">
            <w:pPr>
              <w:keepNext w:val="0"/>
              <w:keepLines w:val="0"/>
              <w:pageBreakBefore w:val="0"/>
              <w:widowControl/>
              <w:kinsoku/>
              <w:wordWrap/>
              <w:overflowPunct/>
              <w:topLinePunct w:val="0"/>
              <w:autoSpaceDE/>
              <w:autoSpaceDN/>
              <w:bidi w:val="0"/>
              <w:adjustRightInd/>
              <w:snapToGrid/>
              <w:spacing w:line="240" w:lineRule="auto"/>
              <w:jc w:val="right"/>
              <w:rPr>
                <w:rFonts w:ascii="宋体" w:hAnsi="宋体" w:eastAsia="宋体" w:cs="宋体"/>
                <w:color w:val="auto"/>
                <w:kern w:val="0"/>
                <w:sz w:val="20"/>
                <w:szCs w:val="20"/>
                <w:lang w:val="en-US" w:eastAsia="zh-CN" w:bidi="ar-SA"/>
              </w:rPr>
            </w:pPr>
            <w:r>
              <w:rPr>
                <w:rFonts w:hint="eastAsia" w:ascii="宋体" w:hAnsi="宋体" w:eastAsia="宋体" w:cs="宋体"/>
                <w:color w:val="auto"/>
                <w:kern w:val="0"/>
                <w:sz w:val="20"/>
                <w:szCs w:val="20"/>
              </w:rPr>
              <w:t xml:space="preserve">      0.00 </w:t>
            </w:r>
          </w:p>
        </w:tc>
      </w:tr>
      <w:tr w14:paraId="6BA9AC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jc w:val="center"/>
        </w:trPr>
        <w:tc>
          <w:tcPr>
            <w:tcW w:w="1443" w:type="dxa"/>
            <w:gridSpan w:val="3"/>
            <w:vMerge w:val="continue"/>
            <w:tcBorders>
              <w:tl2br w:val="nil"/>
              <w:tr2bl w:val="nil"/>
            </w:tcBorders>
            <w:vAlign w:val="center"/>
          </w:tcPr>
          <w:p w14:paraId="6268F04B">
            <w:pPr>
              <w:keepNext w:val="0"/>
              <w:keepLines w:val="0"/>
              <w:pageBreakBefore w:val="0"/>
              <w:kinsoku/>
              <w:wordWrap/>
              <w:overflowPunct/>
              <w:topLinePunct w:val="0"/>
              <w:autoSpaceDE/>
              <w:autoSpaceDN/>
              <w:bidi w:val="0"/>
              <w:adjustRightInd/>
              <w:snapToGrid/>
              <w:spacing w:line="240" w:lineRule="auto"/>
              <w:jc w:val="center"/>
              <w:rPr>
                <w:rFonts w:ascii="宋体" w:cs="宋体"/>
                <w:color w:val="auto"/>
                <w:kern w:val="0"/>
                <w:sz w:val="20"/>
                <w:szCs w:val="20"/>
              </w:rPr>
            </w:pPr>
          </w:p>
        </w:tc>
        <w:tc>
          <w:tcPr>
            <w:tcW w:w="3349" w:type="dxa"/>
            <w:gridSpan w:val="2"/>
            <w:tcBorders>
              <w:tl2br w:val="nil"/>
              <w:tr2bl w:val="nil"/>
            </w:tcBorders>
            <w:vAlign w:val="center"/>
          </w:tcPr>
          <w:p w14:paraId="21262F5E">
            <w:pPr>
              <w:keepNext w:val="0"/>
              <w:keepLines w:val="0"/>
              <w:pageBreakBefore w:val="0"/>
              <w:widowControl/>
              <w:kinsoku/>
              <w:wordWrap/>
              <w:overflowPunct/>
              <w:topLinePunct w:val="0"/>
              <w:autoSpaceDE/>
              <w:autoSpaceDN/>
              <w:bidi w:val="0"/>
              <w:adjustRightInd/>
              <w:snapToGrid/>
              <w:spacing w:line="240" w:lineRule="auto"/>
              <w:jc w:val="left"/>
              <w:textAlignment w:val="center"/>
              <w:rPr>
                <w:rFonts w:ascii="宋体" w:cs="宋体"/>
                <w:color w:val="auto"/>
                <w:kern w:val="0"/>
                <w:sz w:val="20"/>
                <w:szCs w:val="20"/>
              </w:rPr>
            </w:pPr>
            <w:r>
              <w:rPr>
                <w:rFonts w:hint="eastAsia" w:ascii="宋体" w:hAnsi="宋体" w:eastAsia="宋体" w:cs="宋体"/>
                <w:color w:val="auto"/>
                <w:kern w:val="0"/>
                <w:sz w:val="20"/>
                <w:szCs w:val="20"/>
              </w:rPr>
              <w:t xml:space="preserve">         其他资金</w:t>
            </w:r>
          </w:p>
        </w:tc>
        <w:tc>
          <w:tcPr>
            <w:tcW w:w="4228" w:type="dxa"/>
            <w:gridSpan w:val="2"/>
            <w:tcBorders>
              <w:tl2br w:val="nil"/>
              <w:tr2bl w:val="nil"/>
            </w:tcBorders>
            <w:vAlign w:val="center"/>
          </w:tcPr>
          <w:p w14:paraId="730254CB">
            <w:pPr>
              <w:keepNext w:val="0"/>
              <w:keepLines w:val="0"/>
              <w:pageBreakBefore w:val="0"/>
              <w:kinsoku/>
              <w:wordWrap/>
              <w:overflowPunct/>
              <w:topLinePunct w:val="0"/>
              <w:autoSpaceDE/>
              <w:autoSpaceDN/>
              <w:bidi w:val="0"/>
              <w:adjustRightInd/>
              <w:snapToGrid/>
              <w:spacing w:line="240" w:lineRule="auto"/>
              <w:jc w:val="right"/>
              <w:rPr>
                <w:rFonts w:hint="default" w:ascii="宋体" w:cs="宋体" w:eastAsiaTheme="minorEastAsia"/>
                <w:color w:val="auto"/>
                <w:kern w:val="0"/>
                <w:sz w:val="20"/>
                <w:szCs w:val="20"/>
                <w:lang w:val="en-US" w:eastAsia="zh-CN"/>
              </w:rPr>
            </w:pPr>
            <w:r>
              <w:rPr>
                <w:rFonts w:hint="eastAsia" w:ascii="宋体" w:hAnsi="宋体" w:eastAsia="宋体" w:cs="宋体"/>
                <w:color w:val="auto"/>
                <w:kern w:val="0"/>
                <w:sz w:val="20"/>
                <w:szCs w:val="20"/>
              </w:rPr>
              <w:t>0.00</w:t>
            </w:r>
          </w:p>
        </w:tc>
      </w:tr>
      <w:tr w14:paraId="6A1A70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5" w:hRule="atLeast"/>
          <w:jc w:val="center"/>
        </w:trPr>
        <w:tc>
          <w:tcPr>
            <w:tcW w:w="438" w:type="dxa"/>
            <w:tcBorders>
              <w:tl2br w:val="nil"/>
              <w:tr2bl w:val="nil"/>
            </w:tcBorders>
            <w:vAlign w:val="center"/>
          </w:tcPr>
          <w:p w14:paraId="2B956E6A">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ascii="宋体" w:cs="宋体"/>
                <w:color w:val="auto"/>
                <w:kern w:val="0"/>
                <w:sz w:val="20"/>
                <w:szCs w:val="20"/>
              </w:rPr>
            </w:pPr>
            <w:r>
              <w:rPr>
                <w:rFonts w:hint="eastAsia" w:ascii="宋体" w:hAnsi="宋体" w:eastAsia="宋体" w:cs="宋体"/>
                <w:color w:val="auto"/>
                <w:kern w:val="0"/>
                <w:sz w:val="20"/>
                <w:szCs w:val="20"/>
              </w:rPr>
              <w:t>年度</w:t>
            </w:r>
            <w:r>
              <w:rPr>
                <w:rFonts w:hint="eastAsia" w:ascii="宋体" w:hAnsi="宋体" w:eastAsia="宋体" w:cs="宋体"/>
                <w:color w:val="auto"/>
                <w:kern w:val="0"/>
                <w:sz w:val="20"/>
                <w:szCs w:val="20"/>
              </w:rPr>
              <w:br w:type="textWrapping"/>
            </w:r>
            <w:r>
              <w:rPr>
                <w:rFonts w:hint="eastAsia" w:ascii="宋体" w:hAnsi="宋体" w:eastAsia="宋体" w:cs="宋体"/>
                <w:color w:val="auto"/>
                <w:kern w:val="0"/>
                <w:sz w:val="20"/>
                <w:szCs w:val="20"/>
              </w:rPr>
              <w:t>目标</w:t>
            </w:r>
          </w:p>
        </w:tc>
        <w:tc>
          <w:tcPr>
            <w:tcW w:w="8582" w:type="dxa"/>
            <w:gridSpan w:val="6"/>
            <w:tcBorders>
              <w:tl2br w:val="nil"/>
              <w:tr2bl w:val="nil"/>
            </w:tcBorders>
            <w:vAlign w:val="center"/>
          </w:tcPr>
          <w:p w14:paraId="355675D9">
            <w:pPr>
              <w:keepNext w:val="0"/>
              <w:keepLines w:val="0"/>
              <w:pageBreakBefore w:val="0"/>
              <w:kinsoku/>
              <w:wordWrap/>
              <w:overflowPunct/>
              <w:topLinePunct w:val="0"/>
              <w:autoSpaceDE/>
              <w:autoSpaceDN/>
              <w:bidi w:val="0"/>
              <w:adjustRightInd/>
              <w:snapToGrid/>
              <w:spacing w:line="240" w:lineRule="auto"/>
              <w:jc w:val="left"/>
              <w:rPr>
                <w:rFonts w:ascii="宋体" w:cs="宋体"/>
                <w:color w:val="auto"/>
                <w:kern w:val="0"/>
                <w:sz w:val="20"/>
                <w:szCs w:val="20"/>
              </w:rPr>
            </w:pPr>
            <w:r>
              <w:rPr>
                <w:rFonts w:hint="eastAsia" w:ascii="宋体" w:cs="宋体"/>
                <w:color w:val="auto"/>
                <w:kern w:val="0"/>
                <w:sz w:val="20"/>
                <w:szCs w:val="20"/>
              </w:rPr>
              <w:t>保障机构正常运转，更好地做好疾病预防控制工作，促进疾控事业高质量发展。</w:t>
            </w:r>
          </w:p>
        </w:tc>
      </w:tr>
      <w:tr w14:paraId="4A34B7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8" w:hRule="atLeast"/>
          <w:jc w:val="center"/>
        </w:trPr>
        <w:tc>
          <w:tcPr>
            <w:tcW w:w="438" w:type="dxa"/>
            <w:vMerge w:val="restart"/>
            <w:tcBorders>
              <w:tl2br w:val="nil"/>
              <w:tr2bl w:val="nil"/>
            </w:tcBorders>
            <w:vAlign w:val="center"/>
          </w:tcPr>
          <w:p w14:paraId="7C3FF4C8">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ascii="宋体" w:cs="宋体"/>
                <w:color w:val="auto"/>
                <w:kern w:val="0"/>
                <w:sz w:val="20"/>
                <w:szCs w:val="20"/>
              </w:rPr>
            </w:pPr>
            <w:r>
              <w:rPr>
                <w:rFonts w:hint="eastAsia" w:ascii="宋体" w:hAnsi="宋体" w:eastAsia="宋体" w:cs="宋体"/>
                <w:color w:val="auto"/>
                <w:kern w:val="0"/>
                <w:sz w:val="20"/>
                <w:szCs w:val="20"/>
              </w:rPr>
              <w:t>绩</w:t>
            </w:r>
            <w:r>
              <w:rPr>
                <w:rFonts w:hint="eastAsia" w:ascii="宋体" w:hAnsi="宋体" w:eastAsia="宋体" w:cs="宋体"/>
                <w:color w:val="auto"/>
                <w:kern w:val="0"/>
                <w:sz w:val="20"/>
                <w:szCs w:val="20"/>
              </w:rPr>
              <w:br w:type="textWrapping"/>
            </w:r>
            <w:r>
              <w:rPr>
                <w:rFonts w:hint="eastAsia" w:ascii="宋体" w:hAnsi="宋体" w:eastAsia="宋体" w:cs="宋体"/>
                <w:color w:val="auto"/>
                <w:kern w:val="0"/>
                <w:sz w:val="20"/>
                <w:szCs w:val="20"/>
              </w:rPr>
              <w:t>效</w:t>
            </w:r>
            <w:r>
              <w:rPr>
                <w:rFonts w:hint="eastAsia" w:ascii="宋体" w:hAnsi="宋体" w:eastAsia="宋体" w:cs="宋体"/>
                <w:color w:val="auto"/>
                <w:kern w:val="0"/>
                <w:sz w:val="20"/>
                <w:szCs w:val="20"/>
              </w:rPr>
              <w:br w:type="textWrapping"/>
            </w:r>
            <w:r>
              <w:rPr>
                <w:rFonts w:hint="eastAsia" w:ascii="宋体" w:hAnsi="宋体" w:eastAsia="宋体" w:cs="宋体"/>
                <w:color w:val="auto"/>
                <w:kern w:val="0"/>
                <w:sz w:val="20"/>
                <w:szCs w:val="20"/>
              </w:rPr>
              <w:t>指</w:t>
            </w:r>
            <w:r>
              <w:rPr>
                <w:rFonts w:hint="eastAsia" w:ascii="宋体" w:hAnsi="宋体" w:eastAsia="宋体" w:cs="宋体"/>
                <w:color w:val="auto"/>
                <w:kern w:val="0"/>
                <w:sz w:val="20"/>
                <w:szCs w:val="20"/>
              </w:rPr>
              <w:br w:type="textWrapping"/>
            </w:r>
            <w:r>
              <w:rPr>
                <w:rFonts w:hint="eastAsia" w:ascii="宋体" w:hAnsi="宋体" w:eastAsia="宋体" w:cs="宋体"/>
                <w:color w:val="auto"/>
                <w:kern w:val="0"/>
                <w:sz w:val="20"/>
                <w:szCs w:val="20"/>
              </w:rPr>
              <w:t>标</w:t>
            </w:r>
          </w:p>
        </w:tc>
        <w:tc>
          <w:tcPr>
            <w:tcW w:w="723" w:type="dxa"/>
            <w:tcBorders>
              <w:tl2br w:val="nil"/>
              <w:tr2bl w:val="nil"/>
            </w:tcBorders>
            <w:vAlign w:val="center"/>
          </w:tcPr>
          <w:p w14:paraId="0AE7427D">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ascii="宋体" w:cs="宋体"/>
                <w:color w:val="auto"/>
                <w:kern w:val="0"/>
                <w:sz w:val="20"/>
                <w:szCs w:val="20"/>
              </w:rPr>
            </w:pPr>
            <w:r>
              <w:rPr>
                <w:rFonts w:hint="eastAsia" w:ascii="宋体" w:hAnsi="宋体" w:eastAsia="宋体" w:cs="宋体"/>
                <w:color w:val="auto"/>
                <w:kern w:val="0"/>
                <w:sz w:val="20"/>
                <w:szCs w:val="20"/>
              </w:rPr>
              <w:t>一级</w:t>
            </w:r>
            <w:r>
              <w:rPr>
                <w:rFonts w:hint="eastAsia" w:ascii="宋体" w:hAnsi="宋体" w:eastAsia="宋体" w:cs="宋体"/>
                <w:color w:val="auto"/>
                <w:kern w:val="0"/>
                <w:sz w:val="20"/>
                <w:szCs w:val="20"/>
              </w:rPr>
              <w:br w:type="textWrapping"/>
            </w:r>
            <w:r>
              <w:rPr>
                <w:rFonts w:hint="eastAsia" w:ascii="宋体" w:hAnsi="宋体" w:eastAsia="宋体" w:cs="宋体"/>
                <w:color w:val="auto"/>
                <w:kern w:val="0"/>
                <w:sz w:val="20"/>
                <w:szCs w:val="20"/>
              </w:rPr>
              <w:t>指标</w:t>
            </w:r>
          </w:p>
        </w:tc>
        <w:tc>
          <w:tcPr>
            <w:tcW w:w="759" w:type="dxa"/>
            <w:gridSpan w:val="2"/>
            <w:tcBorders>
              <w:tl2br w:val="nil"/>
              <w:tr2bl w:val="nil"/>
            </w:tcBorders>
            <w:vAlign w:val="center"/>
          </w:tcPr>
          <w:p w14:paraId="1EBF3F52">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ascii="宋体" w:cs="宋体"/>
                <w:color w:val="auto"/>
                <w:kern w:val="0"/>
                <w:sz w:val="20"/>
                <w:szCs w:val="20"/>
              </w:rPr>
            </w:pPr>
            <w:r>
              <w:rPr>
                <w:rFonts w:hint="eastAsia" w:ascii="宋体" w:hAnsi="宋体" w:eastAsia="宋体" w:cs="宋体"/>
                <w:color w:val="auto"/>
                <w:kern w:val="0"/>
                <w:sz w:val="20"/>
                <w:szCs w:val="20"/>
              </w:rPr>
              <w:t>二级指标</w:t>
            </w:r>
          </w:p>
        </w:tc>
        <w:tc>
          <w:tcPr>
            <w:tcW w:w="2872" w:type="dxa"/>
            <w:tcBorders>
              <w:tl2br w:val="nil"/>
              <w:tr2bl w:val="nil"/>
            </w:tcBorders>
            <w:vAlign w:val="center"/>
          </w:tcPr>
          <w:p w14:paraId="6875928F">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ascii="宋体" w:cs="宋体"/>
                <w:color w:val="auto"/>
                <w:kern w:val="0"/>
                <w:sz w:val="20"/>
                <w:szCs w:val="20"/>
              </w:rPr>
            </w:pPr>
            <w:r>
              <w:rPr>
                <w:rFonts w:hint="eastAsia" w:ascii="宋体" w:hAnsi="宋体" w:eastAsia="宋体" w:cs="宋体"/>
                <w:color w:val="auto"/>
                <w:kern w:val="0"/>
                <w:sz w:val="20"/>
                <w:szCs w:val="20"/>
              </w:rPr>
              <w:t>三级指标</w:t>
            </w:r>
          </w:p>
        </w:tc>
        <w:tc>
          <w:tcPr>
            <w:tcW w:w="4228" w:type="dxa"/>
            <w:gridSpan w:val="2"/>
            <w:tcBorders>
              <w:tl2br w:val="nil"/>
              <w:tr2bl w:val="nil"/>
            </w:tcBorders>
            <w:vAlign w:val="center"/>
          </w:tcPr>
          <w:p w14:paraId="4E1CE6E1">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ascii="宋体" w:cs="宋体"/>
                <w:color w:val="auto"/>
                <w:kern w:val="0"/>
                <w:sz w:val="20"/>
                <w:szCs w:val="20"/>
              </w:rPr>
            </w:pPr>
            <w:r>
              <w:rPr>
                <w:rFonts w:hint="eastAsia" w:ascii="宋体" w:hAnsi="宋体" w:eastAsia="宋体" w:cs="宋体"/>
                <w:color w:val="auto"/>
                <w:kern w:val="0"/>
                <w:sz w:val="20"/>
                <w:szCs w:val="20"/>
              </w:rPr>
              <w:t>指标值</w:t>
            </w:r>
          </w:p>
        </w:tc>
      </w:tr>
      <w:tr w14:paraId="66557B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3" w:hRule="atLeast"/>
          <w:jc w:val="center"/>
        </w:trPr>
        <w:tc>
          <w:tcPr>
            <w:tcW w:w="438" w:type="dxa"/>
            <w:vMerge w:val="continue"/>
            <w:tcBorders>
              <w:tl2br w:val="nil"/>
              <w:tr2bl w:val="nil"/>
            </w:tcBorders>
            <w:vAlign w:val="center"/>
          </w:tcPr>
          <w:p w14:paraId="362933E7">
            <w:pPr>
              <w:keepNext w:val="0"/>
              <w:keepLines w:val="0"/>
              <w:pageBreakBefore w:val="0"/>
              <w:kinsoku/>
              <w:wordWrap/>
              <w:overflowPunct/>
              <w:topLinePunct w:val="0"/>
              <w:autoSpaceDE/>
              <w:autoSpaceDN/>
              <w:bidi w:val="0"/>
              <w:adjustRightInd/>
              <w:snapToGrid/>
              <w:spacing w:line="240" w:lineRule="auto"/>
              <w:jc w:val="center"/>
              <w:rPr>
                <w:rFonts w:ascii="宋体" w:cs="宋体"/>
                <w:color w:val="auto"/>
                <w:kern w:val="0"/>
                <w:sz w:val="20"/>
                <w:szCs w:val="20"/>
              </w:rPr>
            </w:pPr>
          </w:p>
        </w:tc>
        <w:tc>
          <w:tcPr>
            <w:tcW w:w="723" w:type="dxa"/>
            <w:vMerge w:val="restart"/>
            <w:tcBorders>
              <w:tl2br w:val="nil"/>
              <w:tr2bl w:val="nil"/>
            </w:tcBorders>
            <w:vAlign w:val="center"/>
          </w:tcPr>
          <w:p w14:paraId="14947C50">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ascii="宋体" w:cs="宋体"/>
                <w:color w:val="auto"/>
                <w:kern w:val="0"/>
                <w:sz w:val="20"/>
                <w:szCs w:val="20"/>
              </w:rPr>
            </w:pPr>
            <w:r>
              <w:rPr>
                <w:rFonts w:hint="eastAsia" w:ascii="宋体" w:hAnsi="宋体" w:eastAsia="宋体" w:cs="宋体"/>
                <w:color w:val="auto"/>
                <w:kern w:val="0"/>
                <w:sz w:val="20"/>
                <w:szCs w:val="20"/>
              </w:rPr>
              <w:t>产出指标</w:t>
            </w:r>
          </w:p>
        </w:tc>
        <w:tc>
          <w:tcPr>
            <w:tcW w:w="759" w:type="dxa"/>
            <w:gridSpan w:val="2"/>
            <w:tcBorders>
              <w:tl2br w:val="nil"/>
              <w:tr2bl w:val="nil"/>
            </w:tcBorders>
            <w:vAlign w:val="center"/>
          </w:tcPr>
          <w:p w14:paraId="5F1BDF87">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ascii="宋体" w:cs="宋体"/>
                <w:color w:val="auto"/>
                <w:kern w:val="0"/>
                <w:sz w:val="20"/>
                <w:szCs w:val="20"/>
              </w:rPr>
            </w:pPr>
            <w:r>
              <w:rPr>
                <w:rFonts w:hint="eastAsia" w:ascii="宋体" w:hAnsi="宋体" w:eastAsia="宋体" w:cs="宋体"/>
                <w:color w:val="auto"/>
                <w:kern w:val="0"/>
                <w:sz w:val="20"/>
                <w:szCs w:val="20"/>
              </w:rPr>
              <w:t>数量指标</w:t>
            </w:r>
          </w:p>
        </w:tc>
        <w:tc>
          <w:tcPr>
            <w:tcW w:w="2872" w:type="dxa"/>
            <w:tcBorders>
              <w:tl2br w:val="nil"/>
              <w:tr2bl w:val="nil"/>
            </w:tcBorders>
            <w:vAlign w:val="center"/>
          </w:tcPr>
          <w:p w14:paraId="3530071E">
            <w:pPr>
              <w:keepNext w:val="0"/>
              <w:keepLines w:val="0"/>
              <w:widowControl/>
              <w:suppressLineNumbers w:val="0"/>
              <w:jc w:val="left"/>
              <w:textAlignment w:val="center"/>
              <w:rPr>
                <w:rFonts w:ascii="宋体" w:cs="宋体"/>
                <w:color w:val="auto"/>
                <w:kern w:val="0"/>
                <w:sz w:val="20"/>
                <w:szCs w:val="20"/>
              </w:rPr>
            </w:pPr>
            <w:r>
              <w:rPr>
                <w:rFonts w:hint="eastAsia" w:ascii="宋体" w:hAnsi="宋体" w:eastAsia="宋体" w:cs="宋体"/>
                <w:i w:val="0"/>
                <w:iCs w:val="0"/>
                <w:color w:val="auto"/>
                <w:kern w:val="0"/>
                <w:sz w:val="20"/>
                <w:szCs w:val="20"/>
                <w:u w:val="none"/>
                <w:lang w:val="en-US" w:eastAsia="zh-CN" w:bidi="ar"/>
              </w:rPr>
              <w:t>指标1：保障办公楼、实验楼运转率</w:t>
            </w:r>
          </w:p>
        </w:tc>
        <w:tc>
          <w:tcPr>
            <w:tcW w:w="4228" w:type="dxa"/>
            <w:gridSpan w:val="2"/>
            <w:tcBorders>
              <w:tl2br w:val="nil"/>
              <w:tr2bl w:val="nil"/>
            </w:tcBorders>
            <w:vAlign w:val="center"/>
          </w:tcPr>
          <w:p w14:paraId="28C7E483">
            <w:pPr>
              <w:keepNext w:val="0"/>
              <w:keepLines w:val="0"/>
              <w:widowControl/>
              <w:suppressLineNumbers w:val="0"/>
              <w:jc w:val="center"/>
              <w:textAlignment w:val="center"/>
              <w:rPr>
                <w:rFonts w:ascii="宋体" w:cs="宋体"/>
                <w:color w:val="auto"/>
                <w:kern w:val="0"/>
                <w:sz w:val="20"/>
                <w:szCs w:val="20"/>
              </w:rPr>
            </w:pPr>
            <w:r>
              <w:rPr>
                <w:rFonts w:hint="eastAsia" w:ascii="宋体" w:hAnsi="宋体" w:eastAsia="宋体" w:cs="宋体"/>
                <w:i w:val="0"/>
                <w:iCs w:val="0"/>
                <w:color w:val="auto"/>
                <w:kern w:val="0"/>
                <w:sz w:val="20"/>
                <w:szCs w:val="20"/>
                <w:u w:val="none"/>
                <w:lang w:val="en-US" w:eastAsia="zh-CN" w:bidi="ar"/>
              </w:rPr>
              <w:t>100%</w:t>
            </w:r>
          </w:p>
        </w:tc>
      </w:tr>
      <w:tr w14:paraId="39D119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3" w:hRule="atLeast"/>
          <w:jc w:val="center"/>
        </w:trPr>
        <w:tc>
          <w:tcPr>
            <w:tcW w:w="438" w:type="dxa"/>
            <w:vMerge w:val="continue"/>
            <w:tcBorders>
              <w:tl2br w:val="nil"/>
              <w:tr2bl w:val="nil"/>
            </w:tcBorders>
            <w:vAlign w:val="center"/>
          </w:tcPr>
          <w:p w14:paraId="37CB7EE5">
            <w:pPr>
              <w:keepNext w:val="0"/>
              <w:keepLines w:val="0"/>
              <w:pageBreakBefore w:val="0"/>
              <w:kinsoku/>
              <w:wordWrap/>
              <w:overflowPunct/>
              <w:topLinePunct w:val="0"/>
              <w:autoSpaceDE/>
              <w:autoSpaceDN/>
              <w:bidi w:val="0"/>
              <w:adjustRightInd/>
              <w:snapToGrid/>
              <w:spacing w:line="240" w:lineRule="auto"/>
              <w:jc w:val="center"/>
              <w:rPr>
                <w:rFonts w:ascii="宋体" w:cs="宋体"/>
                <w:color w:val="auto"/>
                <w:kern w:val="0"/>
                <w:sz w:val="20"/>
                <w:szCs w:val="20"/>
              </w:rPr>
            </w:pPr>
          </w:p>
        </w:tc>
        <w:tc>
          <w:tcPr>
            <w:tcW w:w="723" w:type="dxa"/>
            <w:vMerge w:val="continue"/>
            <w:tcBorders>
              <w:tl2br w:val="nil"/>
              <w:tr2bl w:val="nil"/>
            </w:tcBorders>
            <w:vAlign w:val="center"/>
          </w:tcPr>
          <w:p w14:paraId="674DAC08">
            <w:pPr>
              <w:keepNext w:val="0"/>
              <w:keepLines w:val="0"/>
              <w:pageBreakBefore w:val="0"/>
              <w:kinsoku/>
              <w:wordWrap/>
              <w:overflowPunct/>
              <w:topLinePunct w:val="0"/>
              <w:autoSpaceDE/>
              <w:autoSpaceDN/>
              <w:bidi w:val="0"/>
              <w:adjustRightInd/>
              <w:snapToGrid/>
              <w:spacing w:line="240" w:lineRule="auto"/>
              <w:jc w:val="center"/>
              <w:rPr>
                <w:rFonts w:ascii="宋体" w:cs="宋体"/>
                <w:color w:val="auto"/>
                <w:kern w:val="0"/>
                <w:sz w:val="20"/>
                <w:szCs w:val="20"/>
              </w:rPr>
            </w:pPr>
          </w:p>
        </w:tc>
        <w:tc>
          <w:tcPr>
            <w:tcW w:w="759" w:type="dxa"/>
            <w:gridSpan w:val="2"/>
            <w:tcBorders>
              <w:tl2br w:val="nil"/>
              <w:tr2bl w:val="nil"/>
            </w:tcBorders>
            <w:vAlign w:val="center"/>
          </w:tcPr>
          <w:p w14:paraId="6413FB4C">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ascii="宋体" w:cs="宋体"/>
                <w:color w:val="auto"/>
                <w:kern w:val="0"/>
                <w:sz w:val="20"/>
                <w:szCs w:val="20"/>
              </w:rPr>
            </w:pPr>
            <w:r>
              <w:rPr>
                <w:rFonts w:hint="eastAsia" w:ascii="宋体" w:hAnsi="宋体" w:eastAsia="宋体" w:cs="宋体"/>
                <w:color w:val="auto"/>
                <w:kern w:val="0"/>
                <w:sz w:val="20"/>
                <w:szCs w:val="20"/>
              </w:rPr>
              <w:t>质量指标</w:t>
            </w:r>
          </w:p>
        </w:tc>
        <w:tc>
          <w:tcPr>
            <w:tcW w:w="2872" w:type="dxa"/>
            <w:tcBorders>
              <w:tl2br w:val="nil"/>
              <w:tr2bl w:val="nil"/>
            </w:tcBorders>
            <w:vAlign w:val="center"/>
          </w:tcPr>
          <w:p w14:paraId="0D944726">
            <w:pPr>
              <w:keepNext w:val="0"/>
              <w:keepLines w:val="0"/>
              <w:widowControl/>
              <w:suppressLineNumbers w:val="0"/>
              <w:jc w:val="left"/>
              <w:textAlignment w:val="center"/>
              <w:rPr>
                <w:rFonts w:ascii="宋体" w:cs="宋体"/>
                <w:color w:val="auto"/>
                <w:kern w:val="0"/>
                <w:sz w:val="20"/>
                <w:szCs w:val="20"/>
              </w:rPr>
            </w:pPr>
            <w:r>
              <w:rPr>
                <w:rFonts w:hint="eastAsia" w:ascii="宋体" w:hAnsi="宋体" w:eastAsia="宋体" w:cs="宋体"/>
                <w:i w:val="0"/>
                <w:iCs w:val="0"/>
                <w:color w:val="auto"/>
                <w:kern w:val="0"/>
                <w:sz w:val="20"/>
                <w:szCs w:val="20"/>
                <w:u w:val="none"/>
                <w:lang w:val="en-US" w:eastAsia="zh-CN" w:bidi="ar"/>
              </w:rPr>
              <w:t>指标1：搬迁效果</w:t>
            </w:r>
          </w:p>
        </w:tc>
        <w:tc>
          <w:tcPr>
            <w:tcW w:w="4228" w:type="dxa"/>
            <w:gridSpan w:val="2"/>
            <w:tcBorders>
              <w:tl2br w:val="nil"/>
              <w:tr2bl w:val="nil"/>
            </w:tcBorders>
            <w:vAlign w:val="center"/>
          </w:tcPr>
          <w:p w14:paraId="276DF2AE">
            <w:pPr>
              <w:keepNext w:val="0"/>
              <w:keepLines w:val="0"/>
              <w:widowControl/>
              <w:suppressLineNumbers w:val="0"/>
              <w:jc w:val="center"/>
              <w:textAlignment w:val="center"/>
              <w:rPr>
                <w:rFonts w:ascii="宋体" w:cs="宋体"/>
                <w:color w:val="auto"/>
                <w:kern w:val="0"/>
                <w:sz w:val="20"/>
                <w:szCs w:val="20"/>
              </w:rPr>
            </w:pPr>
            <w:r>
              <w:rPr>
                <w:rFonts w:hint="eastAsia" w:ascii="宋体" w:hAnsi="宋体" w:eastAsia="宋体" w:cs="宋体"/>
                <w:i w:val="0"/>
                <w:iCs w:val="0"/>
                <w:color w:val="auto"/>
                <w:kern w:val="0"/>
                <w:sz w:val="20"/>
                <w:szCs w:val="20"/>
                <w:u w:val="none"/>
                <w:lang w:val="en-US" w:eastAsia="zh-CN" w:bidi="ar"/>
              </w:rPr>
              <w:t>设备、设施、物品完好无损</w:t>
            </w:r>
          </w:p>
        </w:tc>
      </w:tr>
      <w:tr w14:paraId="454D53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3" w:hRule="atLeast"/>
          <w:jc w:val="center"/>
        </w:trPr>
        <w:tc>
          <w:tcPr>
            <w:tcW w:w="438" w:type="dxa"/>
            <w:vMerge w:val="continue"/>
            <w:tcBorders>
              <w:tl2br w:val="nil"/>
              <w:tr2bl w:val="nil"/>
            </w:tcBorders>
            <w:vAlign w:val="center"/>
          </w:tcPr>
          <w:p w14:paraId="40377EE4">
            <w:pPr>
              <w:keepNext w:val="0"/>
              <w:keepLines w:val="0"/>
              <w:pageBreakBefore w:val="0"/>
              <w:kinsoku/>
              <w:wordWrap/>
              <w:overflowPunct/>
              <w:topLinePunct w:val="0"/>
              <w:autoSpaceDE/>
              <w:autoSpaceDN/>
              <w:bidi w:val="0"/>
              <w:adjustRightInd/>
              <w:snapToGrid/>
              <w:spacing w:line="240" w:lineRule="auto"/>
              <w:jc w:val="center"/>
              <w:rPr>
                <w:rFonts w:ascii="宋体" w:cs="宋体"/>
                <w:color w:val="auto"/>
                <w:kern w:val="0"/>
                <w:sz w:val="20"/>
                <w:szCs w:val="20"/>
              </w:rPr>
            </w:pPr>
          </w:p>
        </w:tc>
        <w:tc>
          <w:tcPr>
            <w:tcW w:w="723" w:type="dxa"/>
            <w:vMerge w:val="continue"/>
            <w:tcBorders>
              <w:tl2br w:val="nil"/>
              <w:tr2bl w:val="nil"/>
            </w:tcBorders>
            <w:vAlign w:val="center"/>
          </w:tcPr>
          <w:p w14:paraId="425AA807">
            <w:pPr>
              <w:keepNext w:val="0"/>
              <w:keepLines w:val="0"/>
              <w:pageBreakBefore w:val="0"/>
              <w:kinsoku/>
              <w:wordWrap/>
              <w:overflowPunct/>
              <w:topLinePunct w:val="0"/>
              <w:autoSpaceDE/>
              <w:autoSpaceDN/>
              <w:bidi w:val="0"/>
              <w:adjustRightInd/>
              <w:snapToGrid/>
              <w:spacing w:line="240" w:lineRule="auto"/>
              <w:jc w:val="center"/>
              <w:rPr>
                <w:rFonts w:ascii="宋体" w:cs="宋体"/>
                <w:color w:val="auto"/>
                <w:kern w:val="0"/>
                <w:sz w:val="20"/>
                <w:szCs w:val="20"/>
              </w:rPr>
            </w:pPr>
          </w:p>
        </w:tc>
        <w:tc>
          <w:tcPr>
            <w:tcW w:w="759" w:type="dxa"/>
            <w:gridSpan w:val="2"/>
            <w:tcBorders>
              <w:tl2br w:val="nil"/>
              <w:tr2bl w:val="nil"/>
            </w:tcBorders>
            <w:vAlign w:val="center"/>
          </w:tcPr>
          <w:p w14:paraId="5A749103">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ascii="宋体" w:cs="宋体"/>
                <w:color w:val="auto"/>
                <w:kern w:val="0"/>
                <w:sz w:val="20"/>
                <w:szCs w:val="20"/>
              </w:rPr>
            </w:pPr>
            <w:r>
              <w:rPr>
                <w:rFonts w:hint="eastAsia" w:ascii="宋体" w:hAnsi="宋体" w:eastAsia="宋体" w:cs="宋体"/>
                <w:color w:val="auto"/>
                <w:kern w:val="0"/>
                <w:sz w:val="20"/>
                <w:szCs w:val="20"/>
              </w:rPr>
              <w:t>时效指标</w:t>
            </w:r>
          </w:p>
        </w:tc>
        <w:tc>
          <w:tcPr>
            <w:tcW w:w="2872" w:type="dxa"/>
            <w:tcBorders>
              <w:tl2br w:val="nil"/>
              <w:tr2bl w:val="nil"/>
            </w:tcBorders>
            <w:vAlign w:val="center"/>
          </w:tcPr>
          <w:p w14:paraId="2BB10AE0">
            <w:pPr>
              <w:keepNext w:val="0"/>
              <w:keepLines w:val="0"/>
              <w:widowControl/>
              <w:suppressLineNumbers w:val="0"/>
              <w:jc w:val="left"/>
              <w:textAlignment w:val="center"/>
              <w:rPr>
                <w:rFonts w:ascii="宋体" w:cs="宋体"/>
                <w:color w:val="auto"/>
                <w:kern w:val="0"/>
                <w:sz w:val="20"/>
                <w:szCs w:val="20"/>
              </w:rPr>
            </w:pPr>
            <w:r>
              <w:rPr>
                <w:rFonts w:hint="eastAsia" w:ascii="宋体" w:hAnsi="宋体" w:eastAsia="宋体" w:cs="宋体"/>
                <w:i w:val="0"/>
                <w:iCs w:val="0"/>
                <w:color w:val="auto"/>
                <w:kern w:val="0"/>
                <w:sz w:val="20"/>
                <w:szCs w:val="20"/>
                <w:u w:val="none"/>
                <w:lang w:val="en-US" w:eastAsia="zh-CN" w:bidi="ar"/>
              </w:rPr>
              <w:t>指标1：完成时间</w:t>
            </w:r>
          </w:p>
        </w:tc>
        <w:tc>
          <w:tcPr>
            <w:tcW w:w="4228" w:type="dxa"/>
            <w:gridSpan w:val="2"/>
            <w:tcBorders>
              <w:tl2br w:val="nil"/>
              <w:tr2bl w:val="nil"/>
            </w:tcBorders>
            <w:vAlign w:val="center"/>
          </w:tcPr>
          <w:p w14:paraId="28DEDD0B">
            <w:pPr>
              <w:keepNext w:val="0"/>
              <w:keepLines w:val="0"/>
              <w:widowControl/>
              <w:suppressLineNumbers w:val="0"/>
              <w:jc w:val="center"/>
              <w:textAlignment w:val="center"/>
              <w:rPr>
                <w:rFonts w:ascii="宋体" w:cs="宋体"/>
                <w:color w:val="auto"/>
                <w:kern w:val="0"/>
                <w:sz w:val="20"/>
                <w:szCs w:val="20"/>
              </w:rPr>
            </w:pPr>
            <w:r>
              <w:rPr>
                <w:rFonts w:hint="eastAsia" w:ascii="宋体" w:hAnsi="宋体" w:eastAsia="宋体" w:cs="宋体"/>
                <w:i w:val="0"/>
                <w:iCs w:val="0"/>
                <w:color w:val="auto"/>
                <w:kern w:val="0"/>
                <w:sz w:val="20"/>
                <w:szCs w:val="20"/>
                <w:u w:val="none"/>
                <w:lang w:val="en-US" w:eastAsia="zh-CN" w:bidi="ar"/>
              </w:rPr>
              <w:t>2025年底之前</w:t>
            </w:r>
          </w:p>
        </w:tc>
      </w:tr>
      <w:tr w14:paraId="2E74CE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3" w:hRule="atLeast"/>
          <w:jc w:val="center"/>
        </w:trPr>
        <w:tc>
          <w:tcPr>
            <w:tcW w:w="438" w:type="dxa"/>
            <w:vMerge w:val="continue"/>
            <w:tcBorders>
              <w:tl2br w:val="nil"/>
              <w:tr2bl w:val="nil"/>
            </w:tcBorders>
            <w:vAlign w:val="center"/>
          </w:tcPr>
          <w:p w14:paraId="0515C3AA">
            <w:pPr>
              <w:keepNext w:val="0"/>
              <w:keepLines w:val="0"/>
              <w:pageBreakBefore w:val="0"/>
              <w:kinsoku/>
              <w:wordWrap/>
              <w:overflowPunct/>
              <w:topLinePunct w:val="0"/>
              <w:autoSpaceDE/>
              <w:autoSpaceDN/>
              <w:bidi w:val="0"/>
              <w:adjustRightInd/>
              <w:snapToGrid/>
              <w:spacing w:line="240" w:lineRule="auto"/>
              <w:jc w:val="center"/>
              <w:rPr>
                <w:rFonts w:ascii="宋体" w:cs="宋体"/>
                <w:color w:val="auto"/>
                <w:kern w:val="0"/>
                <w:sz w:val="20"/>
                <w:szCs w:val="20"/>
              </w:rPr>
            </w:pPr>
          </w:p>
        </w:tc>
        <w:tc>
          <w:tcPr>
            <w:tcW w:w="723" w:type="dxa"/>
            <w:vMerge w:val="continue"/>
            <w:tcBorders>
              <w:tl2br w:val="nil"/>
              <w:tr2bl w:val="nil"/>
            </w:tcBorders>
            <w:vAlign w:val="center"/>
          </w:tcPr>
          <w:p w14:paraId="1D21F6F1">
            <w:pPr>
              <w:keepNext w:val="0"/>
              <w:keepLines w:val="0"/>
              <w:pageBreakBefore w:val="0"/>
              <w:kinsoku/>
              <w:wordWrap/>
              <w:overflowPunct/>
              <w:topLinePunct w:val="0"/>
              <w:autoSpaceDE/>
              <w:autoSpaceDN/>
              <w:bidi w:val="0"/>
              <w:adjustRightInd/>
              <w:snapToGrid/>
              <w:spacing w:line="240" w:lineRule="auto"/>
              <w:jc w:val="center"/>
              <w:rPr>
                <w:rFonts w:ascii="宋体" w:cs="宋体"/>
                <w:color w:val="auto"/>
                <w:kern w:val="0"/>
                <w:sz w:val="20"/>
                <w:szCs w:val="20"/>
              </w:rPr>
            </w:pPr>
          </w:p>
        </w:tc>
        <w:tc>
          <w:tcPr>
            <w:tcW w:w="759" w:type="dxa"/>
            <w:gridSpan w:val="2"/>
            <w:tcBorders>
              <w:tl2br w:val="nil"/>
              <w:tr2bl w:val="nil"/>
            </w:tcBorders>
            <w:vAlign w:val="center"/>
          </w:tcPr>
          <w:p w14:paraId="312E270C">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ascii="宋体" w:cs="宋体"/>
                <w:color w:val="auto"/>
                <w:kern w:val="0"/>
                <w:sz w:val="20"/>
                <w:szCs w:val="20"/>
              </w:rPr>
            </w:pPr>
            <w:r>
              <w:rPr>
                <w:rFonts w:hint="eastAsia" w:ascii="宋体" w:hAnsi="宋体" w:eastAsia="宋体" w:cs="宋体"/>
                <w:color w:val="auto"/>
                <w:kern w:val="0"/>
                <w:sz w:val="20"/>
                <w:szCs w:val="20"/>
              </w:rPr>
              <w:t>成本指标</w:t>
            </w:r>
          </w:p>
        </w:tc>
        <w:tc>
          <w:tcPr>
            <w:tcW w:w="2872" w:type="dxa"/>
            <w:tcBorders>
              <w:tl2br w:val="nil"/>
              <w:tr2bl w:val="nil"/>
            </w:tcBorders>
            <w:vAlign w:val="center"/>
          </w:tcPr>
          <w:p w14:paraId="42679BC6">
            <w:pPr>
              <w:keepNext w:val="0"/>
              <w:keepLines w:val="0"/>
              <w:widowControl/>
              <w:suppressLineNumbers w:val="0"/>
              <w:jc w:val="left"/>
              <w:textAlignment w:val="center"/>
              <w:rPr>
                <w:rFonts w:ascii="宋体" w:cs="宋体"/>
                <w:color w:val="auto"/>
                <w:kern w:val="0"/>
                <w:sz w:val="20"/>
                <w:szCs w:val="20"/>
              </w:rPr>
            </w:pPr>
            <w:r>
              <w:rPr>
                <w:rFonts w:hint="eastAsia" w:ascii="宋体" w:hAnsi="宋体" w:eastAsia="宋体" w:cs="宋体"/>
                <w:i w:val="0"/>
                <w:iCs w:val="0"/>
                <w:color w:val="auto"/>
                <w:kern w:val="0"/>
                <w:sz w:val="20"/>
                <w:szCs w:val="20"/>
                <w:u w:val="none"/>
                <w:lang w:val="en-US" w:eastAsia="zh-CN" w:bidi="ar"/>
              </w:rPr>
              <w:t>指标1：项目总经费</w:t>
            </w:r>
          </w:p>
        </w:tc>
        <w:tc>
          <w:tcPr>
            <w:tcW w:w="4228" w:type="dxa"/>
            <w:gridSpan w:val="2"/>
            <w:tcBorders>
              <w:tl2br w:val="nil"/>
              <w:tr2bl w:val="nil"/>
            </w:tcBorders>
            <w:vAlign w:val="center"/>
          </w:tcPr>
          <w:p w14:paraId="22FD5E2F">
            <w:pPr>
              <w:keepNext w:val="0"/>
              <w:keepLines w:val="0"/>
              <w:widowControl/>
              <w:suppressLineNumbers w:val="0"/>
              <w:jc w:val="center"/>
              <w:textAlignment w:val="center"/>
              <w:rPr>
                <w:rFonts w:ascii="宋体" w:cs="宋体"/>
                <w:color w:val="auto"/>
                <w:kern w:val="0"/>
                <w:sz w:val="20"/>
                <w:szCs w:val="20"/>
              </w:rPr>
            </w:pPr>
            <w:r>
              <w:rPr>
                <w:rFonts w:hint="eastAsia" w:ascii="宋体" w:hAnsi="宋体" w:eastAsia="宋体" w:cs="宋体"/>
                <w:i w:val="0"/>
                <w:iCs w:val="0"/>
                <w:color w:val="auto"/>
                <w:kern w:val="0"/>
                <w:sz w:val="20"/>
                <w:szCs w:val="20"/>
                <w:u w:val="none"/>
                <w:lang w:val="en-US" w:eastAsia="zh-CN" w:bidi="ar"/>
              </w:rPr>
              <w:t>≤70万元</w:t>
            </w:r>
          </w:p>
        </w:tc>
      </w:tr>
      <w:tr w14:paraId="036AA7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3" w:hRule="atLeast"/>
          <w:jc w:val="center"/>
        </w:trPr>
        <w:tc>
          <w:tcPr>
            <w:tcW w:w="438" w:type="dxa"/>
            <w:vMerge w:val="continue"/>
            <w:tcBorders>
              <w:tl2br w:val="nil"/>
              <w:tr2bl w:val="nil"/>
            </w:tcBorders>
            <w:vAlign w:val="center"/>
          </w:tcPr>
          <w:p w14:paraId="605F1B5F">
            <w:pPr>
              <w:keepNext w:val="0"/>
              <w:keepLines w:val="0"/>
              <w:pageBreakBefore w:val="0"/>
              <w:kinsoku/>
              <w:wordWrap/>
              <w:overflowPunct/>
              <w:topLinePunct w:val="0"/>
              <w:autoSpaceDE/>
              <w:autoSpaceDN/>
              <w:bidi w:val="0"/>
              <w:adjustRightInd/>
              <w:snapToGrid/>
              <w:spacing w:line="240" w:lineRule="auto"/>
              <w:jc w:val="center"/>
              <w:rPr>
                <w:rFonts w:ascii="宋体" w:cs="宋体"/>
                <w:color w:val="auto"/>
                <w:kern w:val="0"/>
                <w:sz w:val="20"/>
                <w:szCs w:val="20"/>
              </w:rPr>
            </w:pPr>
          </w:p>
        </w:tc>
        <w:tc>
          <w:tcPr>
            <w:tcW w:w="723" w:type="dxa"/>
            <w:vMerge w:val="restart"/>
            <w:tcBorders>
              <w:tl2br w:val="nil"/>
              <w:tr2bl w:val="nil"/>
            </w:tcBorders>
            <w:vAlign w:val="center"/>
          </w:tcPr>
          <w:p w14:paraId="7DEC6886">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ascii="宋体" w:cs="宋体"/>
                <w:color w:val="auto"/>
                <w:kern w:val="0"/>
                <w:sz w:val="20"/>
                <w:szCs w:val="20"/>
              </w:rPr>
            </w:pPr>
            <w:r>
              <w:rPr>
                <w:rFonts w:hint="eastAsia" w:ascii="宋体" w:hAnsi="宋体" w:eastAsia="宋体" w:cs="宋体"/>
                <w:color w:val="auto"/>
                <w:kern w:val="0"/>
                <w:sz w:val="20"/>
                <w:szCs w:val="20"/>
              </w:rPr>
              <w:t>效益指标</w:t>
            </w:r>
          </w:p>
        </w:tc>
        <w:tc>
          <w:tcPr>
            <w:tcW w:w="759" w:type="dxa"/>
            <w:gridSpan w:val="2"/>
            <w:tcBorders>
              <w:tl2br w:val="nil"/>
              <w:tr2bl w:val="nil"/>
            </w:tcBorders>
            <w:vAlign w:val="center"/>
          </w:tcPr>
          <w:p w14:paraId="4C1E09CD">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ascii="宋体" w:cs="宋体"/>
                <w:color w:val="auto"/>
                <w:kern w:val="0"/>
                <w:sz w:val="20"/>
                <w:szCs w:val="20"/>
              </w:rPr>
            </w:pPr>
            <w:r>
              <w:rPr>
                <w:rFonts w:hint="eastAsia" w:ascii="宋体" w:hAnsi="宋体" w:eastAsia="宋体" w:cs="宋体"/>
                <w:color w:val="auto"/>
                <w:kern w:val="0"/>
                <w:sz w:val="20"/>
                <w:szCs w:val="20"/>
              </w:rPr>
              <w:t>经济效益指标</w:t>
            </w:r>
          </w:p>
        </w:tc>
        <w:tc>
          <w:tcPr>
            <w:tcW w:w="2872" w:type="dxa"/>
            <w:tcBorders>
              <w:tl2br w:val="nil"/>
              <w:tr2bl w:val="nil"/>
            </w:tcBorders>
            <w:vAlign w:val="center"/>
          </w:tcPr>
          <w:p w14:paraId="275E8FAD">
            <w:pPr>
              <w:keepNext w:val="0"/>
              <w:keepLines w:val="0"/>
              <w:widowControl/>
              <w:suppressLineNumbers w:val="0"/>
              <w:jc w:val="left"/>
              <w:textAlignment w:val="center"/>
              <w:rPr>
                <w:rFonts w:ascii="宋体" w:cs="宋体"/>
                <w:color w:val="auto"/>
                <w:kern w:val="0"/>
                <w:sz w:val="20"/>
                <w:szCs w:val="20"/>
              </w:rPr>
            </w:pPr>
            <w:r>
              <w:rPr>
                <w:rFonts w:hint="eastAsia" w:ascii="宋体" w:hAnsi="宋体" w:eastAsia="宋体" w:cs="宋体"/>
                <w:i w:val="0"/>
                <w:iCs w:val="0"/>
                <w:color w:val="auto"/>
                <w:kern w:val="0"/>
                <w:sz w:val="20"/>
                <w:szCs w:val="20"/>
                <w:u w:val="none"/>
                <w:lang w:val="en-US" w:eastAsia="zh-CN" w:bidi="ar"/>
              </w:rPr>
              <w:t>指标1：加强疾病预防控制，保证人民身体健康</w:t>
            </w:r>
          </w:p>
        </w:tc>
        <w:tc>
          <w:tcPr>
            <w:tcW w:w="4228" w:type="dxa"/>
            <w:gridSpan w:val="2"/>
            <w:tcBorders>
              <w:tl2br w:val="nil"/>
              <w:tr2bl w:val="nil"/>
            </w:tcBorders>
            <w:vAlign w:val="center"/>
          </w:tcPr>
          <w:p w14:paraId="7F288CE2">
            <w:pPr>
              <w:keepNext w:val="0"/>
              <w:keepLines w:val="0"/>
              <w:widowControl/>
              <w:suppressLineNumbers w:val="0"/>
              <w:jc w:val="center"/>
              <w:textAlignment w:val="center"/>
              <w:rPr>
                <w:rFonts w:hint="eastAsia" w:ascii="宋体" w:cs="宋体" w:eastAsiaTheme="minorEastAsia"/>
                <w:color w:val="auto"/>
                <w:kern w:val="0"/>
                <w:sz w:val="20"/>
                <w:szCs w:val="20"/>
                <w:lang w:val="en-US" w:eastAsia="zh-CN"/>
              </w:rPr>
            </w:pPr>
            <w:r>
              <w:rPr>
                <w:rFonts w:hint="eastAsia" w:ascii="宋体" w:hAnsi="宋体" w:eastAsia="宋体" w:cs="宋体"/>
                <w:i w:val="0"/>
                <w:iCs w:val="0"/>
                <w:color w:val="auto"/>
                <w:kern w:val="0"/>
                <w:sz w:val="20"/>
                <w:szCs w:val="20"/>
                <w:u w:val="none"/>
                <w:lang w:val="en-US" w:eastAsia="zh-CN" w:bidi="ar"/>
              </w:rPr>
              <w:t>不断提高</w:t>
            </w:r>
          </w:p>
        </w:tc>
      </w:tr>
      <w:tr w14:paraId="51FDC5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3" w:hRule="atLeast"/>
          <w:jc w:val="center"/>
        </w:trPr>
        <w:tc>
          <w:tcPr>
            <w:tcW w:w="438" w:type="dxa"/>
            <w:vMerge w:val="continue"/>
            <w:tcBorders>
              <w:tl2br w:val="nil"/>
              <w:tr2bl w:val="nil"/>
            </w:tcBorders>
            <w:vAlign w:val="center"/>
          </w:tcPr>
          <w:p w14:paraId="1915B52D">
            <w:pPr>
              <w:keepNext w:val="0"/>
              <w:keepLines w:val="0"/>
              <w:pageBreakBefore w:val="0"/>
              <w:kinsoku/>
              <w:wordWrap/>
              <w:overflowPunct/>
              <w:topLinePunct w:val="0"/>
              <w:autoSpaceDE/>
              <w:autoSpaceDN/>
              <w:bidi w:val="0"/>
              <w:adjustRightInd/>
              <w:snapToGrid/>
              <w:spacing w:line="240" w:lineRule="auto"/>
              <w:jc w:val="center"/>
              <w:rPr>
                <w:rFonts w:ascii="宋体" w:cs="宋体"/>
                <w:color w:val="auto"/>
                <w:kern w:val="0"/>
                <w:sz w:val="20"/>
                <w:szCs w:val="20"/>
              </w:rPr>
            </w:pPr>
          </w:p>
        </w:tc>
        <w:tc>
          <w:tcPr>
            <w:tcW w:w="723" w:type="dxa"/>
            <w:vMerge w:val="continue"/>
            <w:tcBorders>
              <w:tl2br w:val="nil"/>
              <w:tr2bl w:val="nil"/>
            </w:tcBorders>
            <w:vAlign w:val="center"/>
          </w:tcPr>
          <w:p w14:paraId="22FF21F4">
            <w:pPr>
              <w:keepNext w:val="0"/>
              <w:keepLines w:val="0"/>
              <w:pageBreakBefore w:val="0"/>
              <w:kinsoku/>
              <w:wordWrap/>
              <w:overflowPunct/>
              <w:topLinePunct w:val="0"/>
              <w:autoSpaceDE/>
              <w:autoSpaceDN/>
              <w:bidi w:val="0"/>
              <w:adjustRightInd/>
              <w:snapToGrid/>
              <w:spacing w:line="240" w:lineRule="auto"/>
              <w:jc w:val="center"/>
              <w:rPr>
                <w:rFonts w:ascii="宋体" w:cs="宋体"/>
                <w:color w:val="auto"/>
                <w:kern w:val="0"/>
                <w:sz w:val="20"/>
                <w:szCs w:val="20"/>
              </w:rPr>
            </w:pPr>
          </w:p>
        </w:tc>
        <w:tc>
          <w:tcPr>
            <w:tcW w:w="759" w:type="dxa"/>
            <w:gridSpan w:val="2"/>
            <w:tcBorders>
              <w:tl2br w:val="nil"/>
              <w:tr2bl w:val="nil"/>
            </w:tcBorders>
            <w:vAlign w:val="center"/>
          </w:tcPr>
          <w:p w14:paraId="07295D2C">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ascii="宋体" w:cs="宋体"/>
                <w:color w:val="auto"/>
                <w:kern w:val="0"/>
                <w:sz w:val="20"/>
                <w:szCs w:val="20"/>
              </w:rPr>
            </w:pPr>
            <w:r>
              <w:rPr>
                <w:rFonts w:hint="eastAsia" w:ascii="宋体" w:hAnsi="宋体" w:eastAsia="宋体" w:cs="宋体"/>
                <w:color w:val="auto"/>
                <w:kern w:val="0"/>
                <w:sz w:val="20"/>
                <w:szCs w:val="20"/>
              </w:rPr>
              <w:t>社会效益指标</w:t>
            </w:r>
          </w:p>
        </w:tc>
        <w:tc>
          <w:tcPr>
            <w:tcW w:w="2872" w:type="dxa"/>
            <w:tcBorders>
              <w:tl2br w:val="nil"/>
              <w:tr2bl w:val="nil"/>
            </w:tcBorders>
            <w:vAlign w:val="center"/>
          </w:tcPr>
          <w:p w14:paraId="16005606">
            <w:pPr>
              <w:keepNext w:val="0"/>
              <w:keepLines w:val="0"/>
              <w:widowControl/>
              <w:suppressLineNumbers w:val="0"/>
              <w:jc w:val="left"/>
              <w:textAlignment w:val="center"/>
              <w:rPr>
                <w:rFonts w:ascii="宋体" w:cs="宋体"/>
                <w:color w:val="auto"/>
                <w:kern w:val="0"/>
                <w:sz w:val="20"/>
                <w:szCs w:val="20"/>
              </w:rPr>
            </w:pPr>
            <w:r>
              <w:rPr>
                <w:rFonts w:hint="eastAsia" w:ascii="宋体" w:hAnsi="宋体" w:eastAsia="宋体" w:cs="宋体"/>
                <w:i w:val="0"/>
                <w:iCs w:val="0"/>
                <w:color w:val="auto"/>
                <w:kern w:val="0"/>
                <w:sz w:val="20"/>
                <w:szCs w:val="20"/>
                <w:u w:val="none"/>
                <w:lang w:val="en-US" w:eastAsia="zh-CN" w:bidi="ar"/>
              </w:rPr>
              <w:t>指标1：更好地做好传染病检测、促进疾控事业高质量发展</w:t>
            </w:r>
          </w:p>
        </w:tc>
        <w:tc>
          <w:tcPr>
            <w:tcW w:w="4228" w:type="dxa"/>
            <w:gridSpan w:val="2"/>
            <w:tcBorders>
              <w:tl2br w:val="nil"/>
              <w:tr2bl w:val="nil"/>
            </w:tcBorders>
            <w:vAlign w:val="center"/>
          </w:tcPr>
          <w:p w14:paraId="65815DE7">
            <w:pPr>
              <w:keepNext w:val="0"/>
              <w:keepLines w:val="0"/>
              <w:widowControl/>
              <w:suppressLineNumbers w:val="0"/>
              <w:jc w:val="center"/>
              <w:textAlignment w:val="center"/>
              <w:rPr>
                <w:rFonts w:hint="default" w:ascii="宋体" w:cs="宋体" w:eastAsiaTheme="minorEastAsia"/>
                <w:color w:val="auto"/>
                <w:kern w:val="0"/>
                <w:sz w:val="20"/>
                <w:szCs w:val="20"/>
                <w:lang w:val="en-US" w:eastAsia="zh-CN"/>
              </w:rPr>
            </w:pPr>
            <w:r>
              <w:rPr>
                <w:rFonts w:hint="eastAsia" w:ascii="宋体" w:hAnsi="宋体" w:eastAsia="宋体" w:cs="宋体"/>
                <w:i w:val="0"/>
                <w:iCs w:val="0"/>
                <w:color w:val="auto"/>
                <w:kern w:val="0"/>
                <w:sz w:val="20"/>
                <w:szCs w:val="20"/>
                <w:u w:val="none"/>
                <w:lang w:val="en-US" w:eastAsia="zh-CN" w:bidi="ar"/>
              </w:rPr>
              <w:t>不断提高</w:t>
            </w:r>
          </w:p>
        </w:tc>
      </w:tr>
      <w:tr w14:paraId="66A43D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3" w:hRule="atLeast"/>
          <w:jc w:val="center"/>
        </w:trPr>
        <w:tc>
          <w:tcPr>
            <w:tcW w:w="438" w:type="dxa"/>
            <w:vMerge w:val="continue"/>
            <w:tcBorders>
              <w:tl2br w:val="nil"/>
              <w:tr2bl w:val="nil"/>
            </w:tcBorders>
            <w:vAlign w:val="center"/>
          </w:tcPr>
          <w:p w14:paraId="32D2010B">
            <w:pPr>
              <w:keepNext w:val="0"/>
              <w:keepLines w:val="0"/>
              <w:pageBreakBefore w:val="0"/>
              <w:kinsoku/>
              <w:wordWrap/>
              <w:overflowPunct/>
              <w:topLinePunct w:val="0"/>
              <w:autoSpaceDE/>
              <w:autoSpaceDN/>
              <w:bidi w:val="0"/>
              <w:adjustRightInd/>
              <w:snapToGrid/>
              <w:spacing w:line="240" w:lineRule="auto"/>
              <w:jc w:val="center"/>
              <w:rPr>
                <w:rFonts w:ascii="宋体" w:cs="宋体"/>
                <w:color w:val="auto"/>
                <w:kern w:val="0"/>
                <w:sz w:val="20"/>
                <w:szCs w:val="20"/>
              </w:rPr>
            </w:pPr>
          </w:p>
        </w:tc>
        <w:tc>
          <w:tcPr>
            <w:tcW w:w="723" w:type="dxa"/>
            <w:vMerge w:val="continue"/>
            <w:tcBorders>
              <w:tl2br w:val="nil"/>
              <w:tr2bl w:val="nil"/>
            </w:tcBorders>
            <w:vAlign w:val="center"/>
          </w:tcPr>
          <w:p w14:paraId="31BDBEE8">
            <w:pPr>
              <w:keepNext w:val="0"/>
              <w:keepLines w:val="0"/>
              <w:pageBreakBefore w:val="0"/>
              <w:kinsoku/>
              <w:wordWrap/>
              <w:overflowPunct/>
              <w:topLinePunct w:val="0"/>
              <w:autoSpaceDE/>
              <w:autoSpaceDN/>
              <w:bidi w:val="0"/>
              <w:adjustRightInd/>
              <w:snapToGrid/>
              <w:spacing w:line="240" w:lineRule="auto"/>
              <w:jc w:val="center"/>
              <w:rPr>
                <w:rFonts w:ascii="宋体" w:cs="宋体"/>
                <w:color w:val="auto"/>
                <w:kern w:val="0"/>
                <w:sz w:val="20"/>
                <w:szCs w:val="20"/>
              </w:rPr>
            </w:pPr>
          </w:p>
        </w:tc>
        <w:tc>
          <w:tcPr>
            <w:tcW w:w="759" w:type="dxa"/>
            <w:gridSpan w:val="2"/>
            <w:tcBorders>
              <w:tl2br w:val="nil"/>
              <w:tr2bl w:val="nil"/>
            </w:tcBorders>
            <w:vAlign w:val="center"/>
          </w:tcPr>
          <w:p w14:paraId="123F2C10">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ascii="宋体" w:cs="宋体"/>
                <w:color w:val="auto"/>
                <w:kern w:val="0"/>
                <w:sz w:val="20"/>
                <w:szCs w:val="20"/>
              </w:rPr>
            </w:pPr>
            <w:r>
              <w:rPr>
                <w:rFonts w:hint="eastAsia" w:ascii="宋体" w:hAnsi="宋体" w:eastAsia="宋体" w:cs="宋体"/>
                <w:color w:val="auto"/>
                <w:kern w:val="0"/>
                <w:sz w:val="20"/>
                <w:szCs w:val="20"/>
              </w:rPr>
              <w:t>生态效益指标</w:t>
            </w:r>
          </w:p>
        </w:tc>
        <w:tc>
          <w:tcPr>
            <w:tcW w:w="2872" w:type="dxa"/>
            <w:tcBorders>
              <w:tl2br w:val="nil"/>
              <w:tr2bl w:val="nil"/>
            </w:tcBorders>
            <w:vAlign w:val="center"/>
          </w:tcPr>
          <w:p w14:paraId="0C2177EA">
            <w:pPr>
              <w:keepNext w:val="0"/>
              <w:keepLines w:val="0"/>
              <w:widowControl/>
              <w:suppressLineNumbers w:val="0"/>
              <w:jc w:val="left"/>
              <w:textAlignment w:val="center"/>
              <w:rPr>
                <w:rFonts w:ascii="宋体" w:cs="宋体"/>
                <w:color w:val="auto"/>
                <w:kern w:val="0"/>
                <w:sz w:val="20"/>
                <w:szCs w:val="20"/>
              </w:rPr>
            </w:pPr>
            <w:r>
              <w:rPr>
                <w:rFonts w:hint="eastAsia" w:ascii="宋体" w:hAnsi="宋体" w:eastAsia="宋体" w:cs="宋体"/>
                <w:i w:val="0"/>
                <w:iCs w:val="0"/>
                <w:color w:val="auto"/>
                <w:kern w:val="0"/>
                <w:sz w:val="20"/>
                <w:szCs w:val="20"/>
                <w:u w:val="none"/>
                <w:lang w:val="en-US" w:eastAsia="zh-CN" w:bidi="ar"/>
              </w:rPr>
              <w:t>指标1：加强疾病预防控制，保护生态环境发展</w:t>
            </w:r>
          </w:p>
        </w:tc>
        <w:tc>
          <w:tcPr>
            <w:tcW w:w="4228" w:type="dxa"/>
            <w:gridSpan w:val="2"/>
            <w:tcBorders>
              <w:tl2br w:val="nil"/>
              <w:tr2bl w:val="nil"/>
            </w:tcBorders>
            <w:vAlign w:val="center"/>
          </w:tcPr>
          <w:p w14:paraId="013A20A4">
            <w:pPr>
              <w:keepNext w:val="0"/>
              <w:keepLines w:val="0"/>
              <w:widowControl/>
              <w:suppressLineNumbers w:val="0"/>
              <w:jc w:val="center"/>
              <w:textAlignment w:val="center"/>
              <w:rPr>
                <w:rFonts w:ascii="宋体" w:cs="宋体"/>
                <w:color w:val="auto"/>
                <w:kern w:val="0"/>
                <w:sz w:val="20"/>
                <w:szCs w:val="20"/>
              </w:rPr>
            </w:pPr>
            <w:r>
              <w:rPr>
                <w:rFonts w:hint="eastAsia" w:ascii="宋体" w:hAnsi="宋体" w:eastAsia="宋体" w:cs="宋体"/>
                <w:i w:val="0"/>
                <w:iCs w:val="0"/>
                <w:color w:val="auto"/>
                <w:kern w:val="0"/>
                <w:sz w:val="20"/>
                <w:szCs w:val="20"/>
                <w:u w:val="none"/>
                <w:lang w:val="en-US" w:eastAsia="zh-CN" w:bidi="ar"/>
              </w:rPr>
              <w:t>不断提高</w:t>
            </w:r>
          </w:p>
        </w:tc>
      </w:tr>
      <w:tr w14:paraId="1DB7C3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jc w:val="center"/>
        </w:trPr>
        <w:tc>
          <w:tcPr>
            <w:tcW w:w="438" w:type="dxa"/>
            <w:vMerge w:val="continue"/>
            <w:tcBorders>
              <w:tl2br w:val="nil"/>
              <w:tr2bl w:val="nil"/>
            </w:tcBorders>
            <w:vAlign w:val="center"/>
          </w:tcPr>
          <w:p w14:paraId="19A435B9">
            <w:pPr>
              <w:keepNext w:val="0"/>
              <w:keepLines w:val="0"/>
              <w:pageBreakBefore w:val="0"/>
              <w:kinsoku/>
              <w:wordWrap/>
              <w:overflowPunct/>
              <w:topLinePunct w:val="0"/>
              <w:autoSpaceDE/>
              <w:autoSpaceDN/>
              <w:bidi w:val="0"/>
              <w:adjustRightInd/>
              <w:snapToGrid/>
              <w:spacing w:line="240" w:lineRule="auto"/>
              <w:jc w:val="center"/>
              <w:rPr>
                <w:rFonts w:ascii="宋体" w:cs="宋体"/>
                <w:color w:val="auto"/>
                <w:kern w:val="0"/>
                <w:sz w:val="20"/>
                <w:szCs w:val="20"/>
              </w:rPr>
            </w:pPr>
          </w:p>
        </w:tc>
        <w:tc>
          <w:tcPr>
            <w:tcW w:w="723" w:type="dxa"/>
            <w:vMerge w:val="continue"/>
            <w:tcBorders>
              <w:tl2br w:val="nil"/>
              <w:tr2bl w:val="nil"/>
            </w:tcBorders>
            <w:vAlign w:val="center"/>
          </w:tcPr>
          <w:p w14:paraId="511FFB24">
            <w:pPr>
              <w:keepNext w:val="0"/>
              <w:keepLines w:val="0"/>
              <w:pageBreakBefore w:val="0"/>
              <w:kinsoku/>
              <w:wordWrap/>
              <w:overflowPunct/>
              <w:topLinePunct w:val="0"/>
              <w:autoSpaceDE/>
              <w:autoSpaceDN/>
              <w:bidi w:val="0"/>
              <w:adjustRightInd/>
              <w:snapToGrid/>
              <w:spacing w:line="240" w:lineRule="auto"/>
              <w:jc w:val="center"/>
              <w:rPr>
                <w:rFonts w:ascii="宋体" w:cs="宋体"/>
                <w:color w:val="auto"/>
                <w:kern w:val="0"/>
                <w:sz w:val="20"/>
                <w:szCs w:val="20"/>
              </w:rPr>
            </w:pPr>
          </w:p>
        </w:tc>
        <w:tc>
          <w:tcPr>
            <w:tcW w:w="759" w:type="dxa"/>
            <w:gridSpan w:val="2"/>
            <w:tcBorders>
              <w:tl2br w:val="nil"/>
              <w:tr2bl w:val="nil"/>
            </w:tcBorders>
            <w:vAlign w:val="center"/>
          </w:tcPr>
          <w:p w14:paraId="1E2DCCBF">
            <w:pPr>
              <w:keepNext w:val="0"/>
              <w:keepLines w:val="0"/>
              <w:pageBreakBefore w:val="0"/>
              <w:widowControl/>
              <w:kinsoku/>
              <w:wordWrap/>
              <w:overflowPunct/>
              <w:topLinePunct w:val="0"/>
              <w:autoSpaceDE/>
              <w:autoSpaceDN/>
              <w:bidi w:val="0"/>
              <w:adjustRightInd/>
              <w:snapToGrid/>
              <w:spacing w:line="240" w:lineRule="auto"/>
              <w:jc w:val="center"/>
              <w:rPr>
                <w:rFonts w:ascii="宋体" w:hAnsi="宋体" w:eastAsia="宋体" w:cs="宋体"/>
                <w:color w:val="auto"/>
                <w:kern w:val="0"/>
                <w:sz w:val="20"/>
                <w:szCs w:val="20"/>
              </w:rPr>
            </w:pPr>
            <w:r>
              <w:rPr>
                <w:rFonts w:hint="eastAsia" w:ascii="宋体" w:hAnsi="宋体" w:eastAsia="宋体" w:cs="宋体"/>
                <w:color w:val="auto"/>
                <w:kern w:val="0"/>
                <w:sz w:val="20"/>
                <w:szCs w:val="20"/>
              </w:rPr>
              <w:t>可持续影响指标</w:t>
            </w:r>
          </w:p>
        </w:tc>
        <w:tc>
          <w:tcPr>
            <w:tcW w:w="2872" w:type="dxa"/>
            <w:tcBorders>
              <w:tl2br w:val="nil"/>
              <w:tr2bl w:val="nil"/>
            </w:tcBorders>
            <w:vAlign w:val="center"/>
          </w:tcPr>
          <w:p w14:paraId="4DF7B936">
            <w:pPr>
              <w:keepNext w:val="0"/>
              <w:keepLines w:val="0"/>
              <w:widowControl/>
              <w:suppressLineNumbers w:val="0"/>
              <w:jc w:val="left"/>
              <w:textAlignment w:val="center"/>
              <w:rPr>
                <w:rFonts w:ascii="宋体" w:hAnsi="宋体" w:eastAsia="宋体" w:cs="宋体"/>
                <w:color w:val="auto"/>
                <w:kern w:val="0"/>
                <w:sz w:val="20"/>
                <w:szCs w:val="20"/>
              </w:rPr>
            </w:pPr>
            <w:r>
              <w:rPr>
                <w:rFonts w:hint="eastAsia" w:ascii="宋体" w:hAnsi="宋体" w:eastAsia="宋体" w:cs="宋体"/>
                <w:i w:val="0"/>
                <w:iCs w:val="0"/>
                <w:color w:val="auto"/>
                <w:kern w:val="0"/>
                <w:sz w:val="20"/>
                <w:szCs w:val="20"/>
                <w:u w:val="none"/>
                <w:lang w:val="en-US" w:eastAsia="zh-CN" w:bidi="ar"/>
              </w:rPr>
              <w:t>指标1：保障机构正常运转，加强疾病预防控制</w:t>
            </w:r>
          </w:p>
        </w:tc>
        <w:tc>
          <w:tcPr>
            <w:tcW w:w="4228" w:type="dxa"/>
            <w:gridSpan w:val="2"/>
            <w:tcBorders>
              <w:tl2br w:val="nil"/>
              <w:tr2bl w:val="nil"/>
            </w:tcBorders>
            <w:vAlign w:val="center"/>
          </w:tcPr>
          <w:p w14:paraId="5C204F99">
            <w:pPr>
              <w:keepNext w:val="0"/>
              <w:keepLines w:val="0"/>
              <w:widowControl/>
              <w:suppressLineNumbers w:val="0"/>
              <w:jc w:val="center"/>
              <w:textAlignment w:val="center"/>
              <w:rPr>
                <w:rFonts w:ascii="宋体" w:cs="宋体"/>
                <w:color w:val="auto"/>
                <w:kern w:val="0"/>
                <w:sz w:val="20"/>
                <w:szCs w:val="20"/>
              </w:rPr>
            </w:pPr>
            <w:r>
              <w:rPr>
                <w:rFonts w:hint="eastAsia" w:ascii="宋体" w:hAnsi="宋体" w:eastAsia="宋体" w:cs="宋体"/>
                <w:i w:val="0"/>
                <w:iCs w:val="0"/>
                <w:color w:val="auto"/>
                <w:kern w:val="0"/>
                <w:sz w:val="20"/>
                <w:szCs w:val="20"/>
                <w:u w:val="none"/>
                <w:lang w:val="en-US" w:eastAsia="zh-CN" w:bidi="ar"/>
              </w:rPr>
              <w:t>不断提高</w:t>
            </w:r>
          </w:p>
        </w:tc>
      </w:tr>
      <w:tr w14:paraId="04F4C4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3" w:hRule="atLeast"/>
          <w:jc w:val="center"/>
        </w:trPr>
        <w:tc>
          <w:tcPr>
            <w:tcW w:w="438" w:type="dxa"/>
            <w:vMerge w:val="continue"/>
            <w:tcBorders>
              <w:tl2br w:val="nil"/>
              <w:tr2bl w:val="nil"/>
            </w:tcBorders>
            <w:vAlign w:val="center"/>
          </w:tcPr>
          <w:p w14:paraId="5B5166A6">
            <w:pPr>
              <w:keepNext w:val="0"/>
              <w:keepLines w:val="0"/>
              <w:pageBreakBefore w:val="0"/>
              <w:kinsoku/>
              <w:wordWrap/>
              <w:overflowPunct/>
              <w:topLinePunct w:val="0"/>
              <w:autoSpaceDE/>
              <w:autoSpaceDN/>
              <w:bidi w:val="0"/>
              <w:adjustRightInd/>
              <w:snapToGrid/>
              <w:spacing w:line="240" w:lineRule="auto"/>
              <w:jc w:val="center"/>
              <w:rPr>
                <w:rFonts w:ascii="宋体" w:cs="宋体"/>
                <w:color w:val="auto"/>
                <w:kern w:val="0"/>
                <w:sz w:val="20"/>
                <w:szCs w:val="20"/>
              </w:rPr>
            </w:pPr>
          </w:p>
        </w:tc>
        <w:tc>
          <w:tcPr>
            <w:tcW w:w="723" w:type="dxa"/>
            <w:tcBorders>
              <w:tl2br w:val="nil"/>
              <w:tr2bl w:val="nil"/>
            </w:tcBorders>
            <w:vAlign w:val="center"/>
          </w:tcPr>
          <w:p w14:paraId="0F38CAE8">
            <w:pPr>
              <w:keepNext w:val="0"/>
              <w:keepLines w:val="0"/>
              <w:pageBreakBefore w:val="0"/>
              <w:widowControl/>
              <w:kinsoku/>
              <w:wordWrap/>
              <w:overflowPunct/>
              <w:topLinePunct w:val="0"/>
              <w:autoSpaceDE/>
              <w:autoSpaceDN/>
              <w:bidi w:val="0"/>
              <w:adjustRightInd/>
              <w:snapToGrid/>
              <w:spacing w:line="240" w:lineRule="auto"/>
              <w:jc w:val="center"/>
              <w:rPr>
                <w:rFonts w:ascii="宋体" w:hAnsi="宋体" w:eastAsia="宋体" w:cs="宋体"/>
                <w:color w:val="auto"/>
                <w:kern w:val="0"/>
                <w:sz w:val="20"/>
                <w:szCs w:val="20"/>
              </w:rPr>
            </w:pPr>
            <w:r>
              <w:rPr>
                <w:rFonts w:hint="eastAsia" w:ascii="宋体" w:hAnsi="宋体" w:eastAsia="宋体" w:cs="宋体"/>
                <w:color w:val="auto"/>
                <w:kern w:val="0"/>
                <w:sz w:val="20"/>
                <w:szCs w:val="20"/>
              </w:rPr>
              <w:t>满意度指标</w:t>
            </w:r>
          </w:p>
        </w:tc>
        <w:tc>
          <w:tcPr>
            <w:tcW w:w="759" w:type="dxa"/>
            <w:gridSpan w:val="2"/>
            <w:tcBorders>
              <w:tl2br w:val="nil"/>
              <w:tr2bl w:val="nil"/>
            </w:tcBorders>
            <w:vAlign w:val="center"/>
          </w:tcPr>
          <w:p w14:paraId="2A1878AF">
            <w:pPr>
              <w:keepNext w:val="0"/>
              <w:keepLines w:val="0"/>
              <w:pageBreakBefore w:val="0"/>
              <w:widowControl/>
              <w:kinsoku/>
              <w:wordWrap/>
              <w:overflowPunct/>
              <w:topLinePunct w:val="0"/>
              <w:autoSpaceDE/>
              <w:autoSpaceDN/>
              <w:bidi w:val="0"/>
              <w:adjustRightInd/>
              <w:snapToGrid/>
              <w:spacing w:line="240" w:lineRule="auto"/>
              <w:jc w:val="center"/>
              <w:rPr>
                <w:rFonts w:ascii="宋体" w:hAnsi="宋体" w:eastAsia="宋体" w:cs="宋体"/>
                <w:color w:val="auto"/>
                <w:kern w:val="0"/>
                <w:sz w:val="20"/>
                <w:szCs w:val="20"/>
              </w:rPr>
            </w:pPr>
            <w:r>
              <w:rPr>
                <w:rFonts w:hint="eastAsia" w:ascii="宋体" w:hAnsi="宋体" w:eastAsia="宋体" w:cs="宋体"/>
                <w:color w:val="auto"/>
                <w:kern w:val="0"/>
                <w:sz w:val="20"/>
                <w:szCs w:val="20"/>
              </w:rPr>
              <w:t>满意度指标</w:t>
            </w:r>
          </w:p>
        </w:tc>
        <w:tc>
          <w:tcPr>
            <w:tcW w:w="2872" w:type="dxa"/>
            <w:tcBorders>
              <w:tl2br w:val="nil"/>
              <w:tr2bl w:val="nil"/>
            </w:tcBorders>
            <w:vAlign w:val="center"/>
          </w:tcPr>
          <w:p w14:paraId="34CC7E9A">
            <w:pPr>
              <w:keepNext w:val="0"/>
              <w:keepLines w:val="0"/>
              <w:widowControl/>
              <w:suppressLineNumbers w:val="0"/>
              <w:jc w:val="left"/>
              <w:textAlignment w:val="center"/>
              <w:rPr>
                <w:rFonts w:ascii="宋体" w:hAnsi="宋体" w:eastAsia="宋体" w:cs="宋体"/>
                <w:color w:val="auto"/>
                <w:kern w:val="0"/>
                <w:sz w:val="20"/>
                <w:szCs w:val="20"/>
              </w:rPr>
            </w:pPr>
            <w:r>
              <w:rPr>
                <w:rFonts w:hint="eastAsia" w:ascii="宋体" w:hAnsi="宋体" w:eastAsia="宋体" w:cs="宋体"/>
                <w:i w:val="0"/>
                <w:iCs w:val="0"/>
                <w:color w:val="auto"/>
                <w:kern w:val="0"/>
                <w:sz w:val="20"/>
                <w:szCs w:val="20"/>
                <w:u w:val="none"/>
                <w:lang w:val="en-US" w:eastAsia="zh-CN" w:bidi="ar"/>
              </w:rPr>
              <w:t>指标1：服务对象满意度</w:t>
            </w:r>
          </w:p>
        </w:tc>
        <w:tc>
          <w:tcPr>
            <w:tcW w:w="4228" w:type="dxa"/>
            <w:gridSpan w:val="2"/>
            <w:tcBorders>
              <w:tl2br w:val="nil"/>
              <w:tr2bl w:val="nil"/>
            </w:tcBorders>
            <w:vAlign w:val="center"/>
          </w:tcPr>
          <w:p w14:paraId="0FD2D67E">
            <w:pPr>
              <w:keepNext w:val="0"/>
              <w:keepLines w:val="0"/>
              <w:widowControl/>
              <w:suppressLineNumbers w:val="0"/>
              <w:jc w:val="center"/>
              <w:textAlignment w:val="center"/>
              <w:rPr>
                <w:rFonts w:ascii="宋体" w:cs="宋体"/>
                <w:color w:val="auto"/>
                <w:kern w:val="0"/>
                <w:sz w:val="20"/>
                <w:szCs w:val="20"/>
              </w:rPr>
            </w:pPr>
            <w:r>
              <w:rPr>
                <w:rFonts w:hint="eastAsia" w:ascii="宋体" w:hAnsi="宋体" w:eastAsia="宋体" w:cs="宋体"/>
                <w:i w:val="0"/>
                <w:iCs w:val="0"/>
                <w:color w:val="auto"/>
                <w:kern w:val="0"/>
                <w:sz w:val="20"/>
                <w:szCs w:val="20"/>
                <w:u w:val="none"/>
                <w:lang w:val="en-US" w:eastAsia="zh-CN" w:bidi="ar"/>
              </w:rPr>
              <w:t>满意</w:t>
            </w:r>
          </w:p>
        </w:tc>
      </w:tr>
    </w:tbl>
    <w:p w14:paraId="6C9462E0">
      <w:pPr>
        <w:adjustRightInd w:val="0"/>
        <w:snapToGrid w:val="0"/>
        <w:spacing w:line="580" w:lineRule="exact"/>
        <w:ind w:firstLine="643" w:firstLineChars="200"/>
        <w:rPr>
          <w:rFonts w:hint="eastAsia" w:ascii="仿宋" w:hAnsi="仿宋" w:eastAsia="仿宋" w:cs="仿宋"/>
          <w:b/>
          <w:color w:val="auto"/>
          <w:sz w:val="32"/>
          <w:szCs w:val="32"/>
        </w:rPr>
      </w:pPr>
      <w:r>
        <w:rPr>
          <w:rFonts w:hint="eastAsia" w:ascii="仿宋" w:hAnsi="仿宋" w:eastAsia="仿宋" w:cs="仿宋"/>
          <w:b/>
          <w:color w:val="auto"/>
          <w:sz w:val="32"/>
          <w:szCs w:val="32"/>
        </w:rPr>
        <w:t>（二）机关运行经费。</w:t>
      </w:r>
    </w:p>
    <w:p w14:paraId="3312BA90">
      <w:pPr>
        <w:ind w:firstLine="640" w:firstLineChars="200"/>
        <w:rPr>
          <w:rFonts w:hint="eastAsia" w:ascii="仿宋" w:hAnsi="仿宋" w:eastAsia="仿宋" w:cs="仿宋"/>
          <w:color w:val="auto"/>
          <w:kern w:val="0"/>
          <w:sz w:val="32"/>
          <w:szCs w:val="32"/>
          <w:lang w:eastAsia="zh-CN"/>
        </w:rPr>
      </w:pPr>
      <w:r>
        <w:rPr>
          <w:rFonts w:hint="eastAsia" w:ascii="仿宋" w:hAnsi="仿宋" w:eastAsia="仿宋" w:cs="仿宋"/>
          <w:color w:val="auto"/>
          <w:kern w:val="0"/>
          <w:sz w:val="32"/>
          <w:szCs w:val="32"/>
          <w:lang w:eastAsia="zh-CN"/>
        </w:rPr>
        <w:t>淮北市疾病预防控制中心为非参照公务员法管理的事业单位，按照部门预算机关运行经费口径，2025年无机关运行经费财政拨款预算。</w:t>
      </w:r>
    </w:p>
    <w:p w14:paraId="6487FC31">
      <w:pPr>
        <w:adjustRightInd w:val="0"/>
        <w:snapToGrid w:val="0"/>
        <w:spacing w:line="580" w:lineRule="exact"/>
        <w:ind w:firstLine="643" w:firstLineChars="200"/>
        <w:rPr>
          <w:rFonts w:ascii="TimesNewRoman" w:hAnsi="TimesNewRoman" w:eastAsia="仿宋_GB2312" w:cs="TimesNewRoman"/>
          <w:b/>
          <w:color w:val="auto"/>
          <w:sz w:val="32"/>
          <w:szCs w:val="32"/>
        </w:rPr>
      </w:pPr>
      <w:r>
        <w:rPr>
          <w:rFonts w:hint="eastAsia" w:ascii="TimesNewRoman" w:hAnsi="TimesNewRoman" w:eastAsia="仿宋_GB2312" w:cs="TimesNewRoman"/>
          <w:b/>
          <w:color w:val="auto"/>
          <w:sz w:val="32"/>
          <w:szCs w:val="32"/>
        </w:rPr>
        <w:t>（三）政府采购情况。</w:t>
      </w:r>
    </w:p>
    <w:p w14:paraId="751B4D10">
      <w:pPr>
        <w:ind w:firstLine="640" w:firstLineChars="200"/>
        <w:rPr>
          <w:rFonts w:hint="eastAsia" w:ascii="仿宋" w:hAnsi="仿宋" w:eastAsia="仿宋" w:cs="仿宋"/>
          <w:color w:val="auto"/>
          <w:kern w:val="0"/>
          <w:sz w:val="32"/>
          <w:szCs w:val="32"/>
          <w:lang w:eastAsia="zh-CN"/>
        </w:rPr>
      </w:pPr>
      <w:r>
        <w:rPr>
          <w:rFonts w:hint="eastAsia" w:ascii="仿宋" w:hAnsi="仿宋" w:eastAsia="仿宋" w:cs="仿宋"/>
          <w:color w:val="auto"/>
          <w:kern w:val="0"/>
          <w:sz w:val="32"/>
          <w:szCs w:val="32"/>
          <w:lang w:eastAsia="zh-CN"/>
        </w:rPr>
        <w:t>淮北市疾病预防控制中心2025年政府采购预算93</w:t>
      </w:r>
      <w:r>
        <w:rPr>
          <w:rFonts w:hint="eastAsia" w:ascii="仿宋" w:hAnsi="仿宋" w:eastAsia="仿宋" w:cs="仿宋"/>
          <w:color w:val="auto"/>
          <w:kern w:val="0"/>
          <w:sz w:val="32"/>
          <w:szCs w:val="32"/>
          <w:lang w:val="en-US" w:eastAsia="zh-CN"/>
        </w:rPr>
        <w:t>.00</w:t>
      </w:r>
      <w:r>
        <w:rPr>
          <w:rFonts w:hint="eastAsia" w:ascii="仿宋" w:hAnsi="仿宋" w:eastAsia="仿宋" w:cs="仿宋"/>
          <w:color w:val="auto"/>
          <w:kern w:val="0"/>
          <w:sz w:val="32"/>
          <w:szCs w:val="32"/>
          <w:lang w:eastAsia="zh-CN"/>
        </w:rPr>
        <w:t>万元。其中：政府采购货物预算</w:t>
      </w:r>
      <w:r>
        <w:rPr>
          <w:rFonts w:hint="eastAsia" w:ascii="仿宋" w:hAnsi="仿宋" w:eastAsia="仿宋" w:cs="仿宋"/>
          <w:color w:val="auto"/>
          <w:kern w:val="0"/>
          <w:sz w:val="32"/>
          <w:szCs w:val="32"/>
          <w:lang w:val="en-US" w:eastAsia="zh-CN"/>
        </w:rPr>
        <w:t>0</w:t>
      </w:r>
      <w:r>
        <w:rPr>
          <w:rFonts w:hint="eastAsia" w:ascii="仿宋" w:hAnsi="仿宋" w:eastAsia="仿宋" w:cs="仿宋"/>
          <w:color w:val="auto"/>
          <w:kern w:val="0"/>
          <w:sz w:val="32"/>
          <w:szCs w:val="32"/>
          <w:lang w:eastAsia="zh-CN"/>
        </w:rPr>
        <w:t>万元，政府采购工程预算</w:t>
      </w:r>
      <w:r>
        <w:rPr>
          <w:rFonts w:hint="eastAsia" w:ascii="仿宋" w:hAnsi="仿宋" w:eastAsia="仿宋" w:cs="仿宋"/>
          <w:color w:val="auto"/>
          <w:kern w:val="0"/>
          <w:sz w:val="32"/>
          <w:szCs w:val="32"/>
          <w:lang w:val="en-US" w:eastAsia="zh-CN"/>
        </w:rPr>
        <w:t>0</w:t>
      </w:r>
      <w:r>
        <w:rPr>
          <w:rFonts w:hint="eastAsia" w:ascii="仿宋" w:hAnsi="仿宋" w:eastAsia="仿宋" w:cs="仿宋"/>
          <w:color w:val="auto"/>
          <w:kern w:val="0"/>
          <w:sz w:val="32"/>
          <w:szCs w:val="32"/>
          <w:lang w:eastAsia="zh-CN"/>
        </w:rPr>
        <w:t>万元，政府采购服务预算</w:t>
      </w:r>
      <w:r>
        <w:rPr>
          <w:rFonts w:hint="eastAsia" w:ascii="仿宋" w:hAnsi="仿宋" w:eastAsia="仿宋" w:cs="仿宋"/>
          <w:color w:val="auto"/>
          <w:kern w:val="0"/>
          <w:sz w:val="32"/>
          <w:szCs w:val="32"/>
          <w:lang w:val="en-US" w:eastAsia="zh-CN"/>
        </w:rPr>
        <w:t>93.00</w:t>
      </w:r>
      <w:r>
        <w:rPr>
          <w:rFonts w:hint="eastAsia" w:ascii="仿宋" w:hAnsi="仿宋" w:eastAsia="仿宋" w:cs="仿宋"/>
          <w:color w:val="auto"/>
          <w:kern w:val="0"/>
          <w:sz w:val="32"/>
          <w:szCs w:val="32"/>
          <w:lang w:eastAsia="zh-CN"/>
        </w:rPr>
        <w:t>万元。</w:t>
      </w:r>
    </w:p>
    <w:p w14:paraId="5CFDE570">
      <w:pPr>
        <w:adjustRightInd w:val="0"/>
        <w:snapToGrid w:val="0"/>
        <w:spacing w:line="580" w:lineRule="exact"/>
        <w:ind w:firstLine="643" w:firstLineChars="200"/>
        <w:rPr>
          <w:rFonts w:ascii="TimesNewRoman" w:hAnsi="TimesNewRoman" w:eastAsia="仿宋_GB2312" w:cs="TimesNewRoman"/>
          <w:b/>
          <w:color w:val="auto"/>
          <w:sz w:val="32"/>
          <w:szCs w:val="32"/>
        </w:rPr>
      </w:pPr>
      <w:r>
        <w:rPr>
          <w:rFonts w:hint="eastAsia" w:ascii="TimesNewRoman" w:hAnsi="TimesNewRoman" w:eastAsia="仿宋_GB2312" w:cs="TimesNewRoman"/>
          <w:b/>
          <w:color w:val="auto"/>
          <w:sz w:val="32"/>
          <w:szCs w:val="32"/>
        </w:rPr>
        <w:t>（四）国有资产占有使用情况。</w:t>
      </w:r>
    </w:p>
    <w:p w14:paraId="483FA9E9">
      <w:pPr>
        <w:ind w:firstLine="640" w:firstLineChars="200"/>
        <w:rPr>
          <w:rFonts w:hint="eastAsia" w:ascii="仿宋" w:hAnsi="仿宋" w:eastAsia="仿宋" w:cs="仿宋"/>
          <w:color w:val="auto"/>
          <w:kern w:val="0"/>
          <w:sz w:val="32"/>
          <w:szCs w:val="32"/>
          <w:lang w:eastAsia="zh-CN"/>
        </w:rPr>
      </w:pPr>
      <w:r>
        <w:rPr>
          <w:rFonts w:hint="eastAsia" w:ascii="仿宋" w:hAnsi="仿宋" w:eastAsia="仿宋" w:cs="仿宋"/>
          <w:color w:val="auto"/>
          <w:kern w:val="0"/>
          <w:sz w:val="32"/>
          <w:szCs w:val="32"/>
          <w:lang w:eastAsia="zh-CN"/>
        </w:rPr>
        <w:t>截至2024年12月31日，淮北市疾病预防控制中心共有车辆</w:t>
      </w:r>
      <w:r>
        <w:rPr>
          <w:rFonts w:hint="eastAsia" w:ascii="仿宋" w:hAnsi="仿宋" w:eastAsia="仿宋" w:cs="仿宋"/>
          <w:color w:val="auto"/>
          <w:kern w:val="0"/>
          <w:sz w:val="32"/>
          <w:szCs w:val="32"/>
          <w:lang w:val="en-US" w:eastAsia="zh-CN"/>
        </w:rPr>
        <w:t>15</w:t>
      </w:r>
      <w:r>
        <w:rPr>
          <w:rFonts w:hint="eastAsia" w:ascii="仿宋" w:hAnsi="仿宋" w:eastAsia="仿宋" w:cs="仿宋"/>
          <w:color w:val="auto"/>
          <w:kern w:val="0"/>
          <w:sz w:val="32"/>
          <w:szCs w:val="32"/>
          <w:lang w:eastAsia="zh-CN"/>
        </w:rPr>
        <w:t>辆，其中：应急保障用车</w:t>
      </w:r>
      <w:r>
        <w:rPr>
          <w:rFonts w:hint="eastAsia" w:ascii="仿宋" w:hAnsi="仿宋" w:eastAsia="仿宋" w:cs="仿宋"/>
          <w:color w:val="auto"/>
          <w:kern w:val="0"/>
          <w:sz w:val="32"/>
          <w:szCs w:val="32"/>
          <w:lang w:val="en-US" w:eastAsia="zh-CN"/>
        </w:rPr>
        <w:t>2</w:t>
      </w:r>
      <w:r>
        <w:rPr>
          <w:rFonts w:hint="eastAsia" w:ascii="仿宋" w:hAnsi="仿宋" w:eastAsia="仿宋" w:cs="仿宋"/>
          <w:color w:val="auto"/>
          <w:kern w:val="0"/>
          <w:sz w:val="32"/>
          <w:szCs w:val="32"/>
          <w:lang w:eastAsia="zh-CN"/>
        </w:rPr>
        <w:t>辆、特种专业技术用车</w:t>
      </w:r>
      <w:r>
        <w:rPr>
          <w:rFonts w:hint="eastAsia" w:ascii="仿宋" w:hAnsi="仿宋" w:eastAsia="仿宋" w:cs="仿宋"/>
          <w:color w:val="auto"/>
          <w:kern w:val="0"/>
          <w:sz w:val="32"/>
          <w:szCs w:val="32"/>
          <w:lang w:val="en-US" w:eastAsia="zh-CN"/>
        </w:rPr>
        <w:t>7</w:t>
      </w:r>
      <w:r>
        <w:rPr>
          <w:rFonts w:hint="eastAsia" w:ascii="仿宋" w:hAnsi="仿宋" w:eastAsia="仿宋" w:cs="仿宋"/>
          <w:color w:val="auto"/>
          <w:kern w:val="0"/>
          <w:sz w:val="32"/>
          <w:szCs w:val="32"/>
          <w:lang w:eastAsia="zh-CN"/>
        </w:rPr>
        <w:t>辆、其他用车</w:t>
      </w:r>
      <w:r>
        <w:rPr>
          <w:rFonts w:hint="eastAsia" w:ascii="仿宋" w:hAnsi="仿宋" w:eastAsia="仿宋" w:cs="仿宋"/>
          <w:color w:val="auto"/>
          <w:kern w:val="0"/>
          <w:sz w:val="32"/>
          <w:szCs w:val="32"/>
          <w:lang w:val="en-US" w:eastAsia="zh-CN"/>
        </w:rPr>
        <w:t>6</w:t>
      </w:r>
      <w:r>
        <w:rPr>
          <w:rFonts w:hint="eastAsia" w:ascii="仿宋" w:hAnsi="仿宋" w:eastAsia="仿宋" w:cs="仿宋"/>
          <w:color w:val="auto"/>
          <w:kern w:val="0"/>
          <w:sz w:val="32"/>
          <w:szCs w:val="32"/>
          <w:lang w:eastAsia="zh-CN"/>
        </w:rPr>
        <w:t>辆</w:t>
      </w:r>
      <w:bookmarkStart w:id="0" w:name="_GoBack"/>
      <w:bookmarkEnd w:id="0"/>
      <w:r>
        <w:rPr>
          <w:rFonts w:hint="eastAsia" w:ascii="仿宋" w:hAnsi="仿宋" w:eastAsia="仿宋" w:cs="仿宋"/>
          <w:color w:val="auto"/>
          <w:kern w:val="0"/>
          <w:sz w:val="32"/>
          <w:szCs w:val="32"/>
          <w:lang w:eastAsia="zh-CN"/>
        </w:rPr>
        <w:t>。单价50万元以上的通用设备</w:t>
      </w:r>
      <w:r>
        <w:rPr>
          <w:rFonts w:hint="eastAsia" w:ascii="仿宋" w:hAnsi="仿宋" w:eastAsia="仿宋" w:cs="仿宋"/>
          <w:color w:val="auto"/>
          <w:kern w:val="0"/>
          <w:sz w:val="32"/>
          <w:szCs w:val="32"/>
          <w:lang w:val="en-US" w:eastAsia="zh-CN"/>
        </w:rPr>
        <w:t>3</w:t>
      </w:r>
      <w:r>
        <w:rPr>
          <w:rFonts w:hint="eastAsia" w:ascii="仿宋" w:hAnsi="仿宋" w:eastAsia="仿宋" w:cs="仿宋"/>
          <w:color w:val="auto"/>
          <w:kern w:val="0"/>
          <w:sz w:val="32"/>
          <w:szCs w:val="32"/>
          <w:lang w:eastAsia="zh-CN"/>
        </w:rPr>
        <w:t>台（套），单价100万元以上的专用设备</w:t>
      </w:r>
      <w:r>
        <w:rPr>
          <w:rFonts w:hint="eastAsia" w:ascii="仿宋" w:hAnsi="仿宋" w:eastAsia="仿宋" w:cs="仿宋"/>
          <w:color w:val="auto"/>
          <w:kern w:val="0"/>
          <w:sz w:val="32"/>
          <w:szCs w:val="32"/>
          <w:lang w:val="en-US" w:eastAsia="zh-CN"/>
        </w:rPr>
        <w:t>8</w:t>
      </w:r>
      <w:r>
        <w:rPr>
          <w:rFonts w:hint="eastAsia" w:ascii="仿宋" w:hAnsi="仿宋" w:eastAsia="仿宋" w:cs="仿宋"/>
          <w:color w:val="auto"/>
          <w:kern w:val="0"/>
          <w:sz w:val="32"/>
          <w:szCs w:val="32"/>
          <w:lang w:eastAsia="zh-CN"/>
        </w:rPr>
        <w:t>台（套）。</w:t>
      </w:r>
    </w:p>
    <w:p w14:paraId="070DF7BB">
      <w:pPr>
        <w:ind w:firstLine="640" w:firstLineChars="200"/>
        <w:rPr>
          <w:rFonts w:hint="eastAsia" w:ascii="仿宋" w:hAnsi="仿宋" w:eastAsia="仿宋" w:cs="仿宋"/>
          <w:color w:val="auto"/>
          <w:kern w:val="0"/>
          <w:sz w:val="32"/>
          <w:szCs w:val="32"/>
          <w:lang w:eastAsia="zh-CN"/>
        </w:rPr>
      </w:pPr>
      <w:r>
        <w:rPr>
          <w:rFonts w:hint="eastAsia" w:ascii="仿宋" w:hAnsi="仿宋" w:eastAsia="仿宋" w:cs="仿宋"/>
          <w:color w:val="auto"/>
          <w:kern w:val="0"/>
          <w:sz w:val="32"/>
          <w:szCs w:val="32"/>
          <w:lang w:eastAsia="zh-CN"/>
        </w:rPr>
        <w:t>2025年单位预算安排购置公务用车</w:t>
      </w:r>
      <w:r>
        <w:rPr>
          <w:rFonts w:hint="eastAsia" w:ascii="仿宋" w:hAnsi="仿宋" w:eastAsia="仿宋" w:cs="仿宋"/>
          <w:color w:val="auto"/>
          <w:kern w:val="0"/>
          <w:sz w:val="32"/>
          <w:szCs w:val="32"/>
          <w:lang w:val="en-US" w:eastAsia="zh-CN"/>
        </w:rPr>
        <w:t>0</w:t>
      </w:r>
      <w:r>
        <w:rPr>
          <w:rFonts w:hint="eastAsia" w:ascii="仿宋" w:hAnsi="仿宋" w:eastAsia="仿宋" w:cs="仿宋"/>
          <w:color w:val="auto"/>
          <w:kern w:val="0"/>
          <w:sz w:val="32"/>
          <w:szCs w:val="32"/>
          <w:lang w:eastAsia="zh-CN"/>
        </w:rPr>
        <w:t>辆，购置费</w:t>
      </w:r>
      <w:r>
        <w:rPr>
          <w:rFonts w:hint="eastAsia" w:ascii="仿宋" w:hAnsi="仿宋" w:eastAsia="仿宋" w:cs="仿宋"/>
          <w:color w:val="auto"/>
          <w:kern w:val="0"/>
          <w:sz w:val="32"/>
          <w:szCs w:val="32"/>
          <w:lang w:val="en-US" w:eastAsia="zh-CN"/>
        </w:rPr>
        <w:t>0</w:t>
      </w:r>
      <w:r>
        <w:rPr>
          <w:rFonts w:hint="eastAsia" w:ascii="仿宋" w:hAnsi="仿宋" w:eastAsia="仿宋" w:cs="仿宋"/>
          <w:color w:val="auto"/>
          <w:kern w:val="0"/>
          <w:sz w:val="32"/>
          <w:szCs w:val="32"/>
          <w:lang w:eastAsia="zh-CN"/>
        </w:rPr>
        <w:t>万元；安排购置单价50万元以上的通用设备</w:t>
      </w:r>
      <w:r>
        <w:rPr>
          <w:rFonts w:hint="eastAsia" w:ascii="仿宋" w:hAnsi="仿宋" w:eastAsia="仿宋" w:cs="仿宋"/>
          <w:color w:val="auto"/>
          <w:kern w:val="0"/>
          <w:sz w:val="32"/>
          <w:szCs w:val="32"/>
          <w:lang w:val="en-US" w:eastAsia="zh-CN"/>
        </w:rPr>
        <w:t>0</w:t>
      </w:r>
      <w:r>
        <w:rPr>
          <w:rFonts w:hint="eastAsia" w:ascii="仿宋" w:hAnsi="仿宋" w:eastAsia="仿宋" w:cs="仿宋"/>
          <w:color w:val="auto"/>
          <w:kern w:val="0"/>
          <w:sz w:val="32"/>
          <w:szCs w:val="32"/>
          <w:lang w:eastAsia="zh-CN"/>
        </w:rPr>
        <w:t>台（套），购置费</w:t>
      </w:r>
      <w:r>
        <w:rPr>
          <w:rFonts w:hint="eastAsia" w:ascii="仿宋" w:hAnsi="仿宋" w:eastAsia="仿宋" w:cs="仿宋"/>
          <w:color w:val="auto"/>
          <w:kern w:val="0"/>
          <w:sz w:val="32"/>
          <w:szCs w:val="32"/>
          <w:lang w:val="en-US" w:eastAsia="zh-CN"/>
        </w:rPr>
        <w:t>0</w:t>
      </w:r>
      <w:r>
        <w:rPr>
          <w:rFonts w:hint="eastAsia" w:ascii="仿宋" w:hAnsi="仿宋" w:eastAsia="仿宋" w:cs="仿宋"/>
          <w:color w:val="auto"/>
          <w:kern w:val="0"/>
          <w:sz w:val="32"/>
          <w:szCs w:val="32"/>
          <w:lang w:eastAsia="zh-CN"/>
        </w:rPr>
        <w:t>万元；安排购置单价100万元以上专用设备</w:t>
      </w:r>
      <w:r>
        <w:rPr>
          <w:rFonts w:hint="eastAsia" w:ascii="仿宋" w:hAnsi="仿宋" w:eastAsia="仿宋" w:cs="仿宋"/>
          <w:color w:val="auto"/>
          <w:kern w:val="0"/>
          <w:sz w:val="32"/>
          <w:szCs w:val="32"/>
          <w:lang w:val="en-US" w:eastAsia="zh-CN"/>
        </w:rPr>
        <w:t>0</w:t>
      </w:r>
      <w:r>
        <w:rPr>
          <w:rFonts w:hint="eastAsia" w:ascii="仿宋" w:hAnsi="仿宋" w:eastAsia="仿宋" w:cs="仿宋"/>
          <w:color w:val="auto"/>
          <w:kern w:val="0"/>
          <w:sz w:val="32"/>
          <w:szCs w:val="32"/>
          <w:lang w:eastAsia="zh-CN"/>
        </w:rPr>
        <w:t>台（套），购置费</w:t>
      </w:r>
      <w:r>
        <w:rPr>
          <w:rFonts w:hint="eastAsia" w:ascii="仿宋" w:hAnsi="仿宋" w:eastAsia="仿宋" w:cs="仿宋"/>
          <w:color w:val="auto"/>
          <w:kern w:val="0"/>
          <w:sz w:val="32"/>
          <w:szCs w:val="32"/>
          <w:lang w:val="en-US" w:eastAsia="zh-CN"/>
        </w:rPr>
        <w:t>0</w:t>
      </w:r>
      <w:r>
        <w:rPr>
          <w:rFonts w:hint="eastAsia" w:ascii="仿宋" w:hAnsi="仿宋" w:eastAsia="仿宋" w:cs="仿宋"/>
          <w:color w:val="auto"/>
          <w:kern w:val="0"/>
          <w:sz w:val="32"/>
          <w:szCs w:val="32"/>
          <w:lang w:eastAsia="zh-CN"/>
        </w:rPr>
        <w:t>万元。</w:t>
      </w:r>
    </w:p>
    <w:p w14:paraId="1AF40E19">
      <w:pPr>
        <w:adjustRightInd w:val="0"/>
        <w:snapToGrid w:val="0"/>
        <w:spacing w:line="580" w:lineRule="exact"/>
        <w:ind w:firstLine="643" w:firstLineChars="200"/>
        <w:rPr>
          <w:rFonts w:ascii="TimesNewRoman" w:hAnsi="TimesNewRoman" w:eastAsia="仿宋_GB2312" w:cs="TimesNewRoman"/>
          <w:b/>
          <w:color w:val="auto"/>
          <w:sz w:val="32"/>
          <w:szCs w:val="32"/>
        </w:rPr>
      </w:pPr>
      <w:r>
        <w:rPr>
          <w:rFonts w:hint="eastAsia" w:ascii="TimesNewRoman" w:hAnsi="TimesNewRoman" w:eastAsia="仿宋_GB2312" w:cs="TimesNewRoman"/>
          <w:b/>
          <w:color w:val="auto"/>
          <w:sz w:val="32"/>
          <w:szCs w:val="32"/>
        </w:rPr>
        <w:t>（五）绩效目标设置情况。</w:t>
      </w:r>
    </w:p>
    <w:p w14:paraId="611507BA">
      <w:pPr>
        <w:pStyle w:val="4"/>
        <w:adjustRightInd w:val="0"/>
        <w:snapToGrid w:val="0"/>
        <w:spacing w:line="560" w:lineRule="exact"/>
        <w:ind w:firstLine="640" w:firstLineChars="200"/>
        <w:jc w:val="both"/>
        <w:rPr>
          <w:rFonts w:hint="eastAsia" w:ascii="仿宋" w:hAnsi="仿宋" w:eastAsia="仿宋" w:cs="仿宋"/>
          <w:color w:val="auto"/>
          <w:kern w:val="0"/>
          <w:sz w:val="32"/>
          <w:szCs w:val="32"/>
          <w:lang w:eastAsia="zh-CN"/>
        </w:rPr>
      </w:pPr>
      <w:r>
        <w:rPr>
          <w:rFonts w:hint="eastAsia" w:ascii="仿宋" w:hAnsi="仿宋" w:eastAsia="仿宋" w:cs="仿宋"/>
          <w:color w:val="auto"/>
          <w:kern w:val="0"/>
          <w:sz w:val="32"/>
          <w:szCs w:val="32"/>
          <w:lang w:eastAsia="zh-CN"/>
        </w:rPr>
        <w:t>2025年，淮北市疾病预防控制中心</w:t>
      </w:r>
      <w:r>
        <w:rPr>
          <w:rFonts w:hint="eastAsia" w:ascii="仿宋" w:hAnsi="仿宋" w:eastAsia="仿宋" w:cs="仿宋"/>
          <w:color w:val="auto"/>
          <w:kern w:val="0"/>
          <w:sz w:val="32"/>
          <w:szCs w:val="32"/>
          <w:lang w:val="en-US" w:eastAsia="zh-CN"/>
        </w:rPr>
        <w:t>8</w:t>
      </w:r>
      <w:r>
        <w:rPr>
          <w:rFonts w:hint="eastAsia" w:ascii="仿宋" w:hAnsi="仿宋" w:eastAsia="仿宋" w:cs="仿宋"/>
          <w:color w:val="auto"/>
          <w:kern w:val="0"/>
          <w:sz w:val="32"/>
          <w:szCs w:val="32"/>
          <w:lang w:eastAsia="zh-CN"/>
        </w:rPr>
        <w:t>个项目实行了绩效目标管理，涉及一般公共预算当年财政拨款</w:t>
      </w:r>
      <w:r>
        <w:rPr>
          <w:rFonts w:hint="eastAsia" w:ascii="仿宋_GB2312" w:eastAsia="仿宋_GB2312"/>
          <w:color w:val="auto"/>
          <w:sz w:val="32"/>
          <w:szCs w:val="32"/>
          <w:lang w:val="en-US" w:eastAsia="zh-CN"/>
        </w:rPr>
        <w:t>418.40</w:t>
      </w:r>
      <w:r>
        <w:rPr>
          <w:rFonts w:hint="eastAsia" w:ascii="仿宋" w:hAnsi="仿宋" w:eastAsia="仿宋" w:cs="仿宋"/>
          <w:color w:val="auto"/>
          <w:kern w:val="0"/>
          <w:sz w:val="32"/>
          <w:szCs w:val="32"/>
          <w:lang w:eastAsia="zh-CN"/>
        </w:rPr>
        <w:t>万元、政府性基金预算当年财政拨款</w:t>
      </w:r>
      <w:r>
        <w:rPr>
          <w:rFonts w:hint="eastAsia" w:ascii="仿宋" w:hAnsi="仿宋" w:eastAsia="仿宋" w:cs="仿宋"/>
          <w:color w:val="auto"/>
          <w:kern w:val="0"/>
          <w:sz w:val="32"/>
          <w:szCs w:val="32"/>
          <w:lang w:val="en-US" w:eastAsia="zh-CN"/>
        </w:rPr>
        <w:t>0</w:t>
      </w:r>
      <w:r>
        <w:rPr>
          <w:rFonts w:hint="eastAsia" w:ascii="仿宋" w:hAnsi="仿宋" w:eastAsia="仿宋" w:cs="仿宋"/>
          <w:color w:val="auto"/>
          <w:kern w:val="0"/>
          <w:sz w:val="32"/>
          <w:szCs w:val="32"/>
          <w:lang w:eastAsia="zh-CN"/>
        </w:rPr>
        <w:t>万元、财政专户管理资金当年安排</w:t>
      </w:r>
      <w:r>
        <w:rPr>
          <w:rFonts w:hint="eastAsia" w:ascii="仿宋" w:hAnsi="仿宋" w:eastAsia="仿宋" w:cs="仿宋"/>
          <w:color w:val="auto"/>
          <w:kern w:val="0"/>
          <w:sz w:val="32"/>
          <w:szCs w:val="32"/>
          <w:lang w:val="en-US" w:eastAsia="zh-CN"/>
        </w:rPr>
        <w:t>0</w:t>
      </w:r>
      <w:r>
        <w:rPr>
          <w:rFonts w:hint="eastAsia" w:ascii="仿宋" w:hAnsi="仿宋" w:eastAsia="仿宋" w:cs="仿宋"/>
          <w:color w:val="auto"/>
          <w:kern w:val="0"/>
          <w:sz w:val="32"/>
          <w:szCs w:val="32"/>
          <w:lang w:eastAsia="zh-CN"/>
        </w:rPr>
        <w:t>万元。</w:t>
      </w:r>
    </w:p>
    <w:p w14:paraId="2A4D431A">
      <w:pPr>
        <w:pStyle w:val="4"/>
        <w:adjustRightInd w:val="0"/>
        <w:snapToGrid w:val="0"/>
        <w:spacing w:line="560" w:lineRule="exact"/>
        <w:jc w:val="center"/>
        <w:rPr>
          <w:rFonts w:ascii="TimesNewRoman" w:hAnsi="TimesNewRoman" w:eastAsia="黑体" w:cs="TimesNewRoman"/>
          <w:bCs/>
          <w:color w:val="auto"/>
          <w:sz w:val="36"/>
          <w:szCs w:val="36"/>
        </w:rPr>
      </w:pPr>
      <w:r>
        <w:rPr>
          <w:rFonts w:hint="eastAsia" w:ascii="TimesNewRoman" w:hAnsi="TimesNewRoman" w:eastAsia="黑体" w:cs="TimesNewRoman"/>
          <w:bCs/>
          <w:color w:val="auto"/>
          <w:sz w:val="36"/>
          <w:szCs w:val="36"/>
        </w:rPr>
        <w:t>第四部分 名词解释</w:t>
      </w:r>
    </w:p>
    <w:p w14:paraId="25C3545B">
      <w:pPr>
        <w:rPr>
          <w:color w:val="auto"/>
        </w:rPr>
      </w:pPr>
    </w:p>
    <w:p w14:paraId="1E846A4B">
      <w:pPr>
        <w:pStyle w:val="4"/>
        <w:keepNext w:val="0"/>
        <w:keepLines w:val="0"/>
        <w:pageBreakBefore w:val="0"/>
        <w:widowControl w:val="0"/>
        <w:kinsoku/>
        <w:wordWrap/>
        <w:overflowPunct/>
        <w:topLinePunct w:val="0"/>
        <w:autoSpaceDE/>
        <w:autoSpaceDN/>
        <w:bidi w:val="0"/>
        <w:adjustRightInd w:val="0"/>
        <w:snapToGrid w:val="0"/>
        <w:spacing w:line="560" w:lineRule="exact"/>
        <w:ind w:firstLine="630" w:firstLineChars="196"/>
        <w:textAlignment w:val="auto"/>
        <w:rPr>
          <w:rFonts w:ascii="TimesNewRoman" w:hAnsi="TimesNewRoman" w:eastAsia="仿宋_GB2312" w:cs="TimesNewRoman"/>
          <w:color w:val="auto"/>
          <w:sz w:val="32"/>
          <w:szCs w:val="32"/>
        </w:rPr>
      </w:pPr>
      <w:r>
        <w:rPr>
          <w:rFonts w:hint="eastAsia" w:ascii="TimesNewRoman" w:hAnsi="TimesNewRoman" w:eastAsia="仿宋_GB2312" w:cs="TimesNewRoman"/>
          <w:b/>
          <w:color w:val="auto"/>
          <w:sz w:val="32"/>
          <w:szCs w:val="32"/>
        </w:rPr>
        <w:t>一、财政拨款收入：</w:t>
      </w:r>
      <w:r>
        <w:rPr>
          <w:rFonts w:hint="eastAsia" w:ascii="TimesNewRoman" w:hAnsi="TimesNewRoman" w:eastAsia="仿宋_GB2312" w:cs="TimesNewRoman"/>
          <w:color w:val="auto"/>
          <w:sz w:val="32"/>
          <w:szCs w:val="32"/>
        </w:rPr>
        <w:t>指部门或单位从同级财政部门取得的财政预算资金。</w:t>
      </w:r>
    </w:p>
    <w:p w14:paraId="2EEA5FB6">
      <w:pPr>
        <w:pStyle w:val="4"/>
        <w:keepNext w:val="0"/>
        <w:keepLines w:val="0"/>
        <w:pageBreakBefore w:val="0"/>
        <w:widowControl w:val="0"/>
        <w:kinsoku/>
        <w:wordWrap/>
        <w:overflowPunct/>
        <w:topLinePunct w:val="0"/>
        <w:autoSpaceDE/>
        <w:autoSpaceDN/>
        <w:bidi w:val="0"/>
        <w:adjustRightInd w:val="0"/>
        <w:snapToGrid w:val="0"/>
        <w:spacing w:line="560" w:lineRule="exact"/>
        <w:ind w:firstLine="630" w:firstLineChars="196"/>
        <w:textAlignment w:val="auto"/>
        <w:rPr>
          <w:rFonts w:ascii="TimesNewRoman" w:hAnsi="TimesNewRoman" w:eastAsia="仿宋_GB2312" w:cs="TimesNewRoman"/>
          <w:color w:val="auto"/>
          <w:sz w:val="32"/>
          <w:szCs w:val="32"/>
        </w:rPr>
      </w:pPr>
      <w:r>
        <w:rPr>
          <w:rFonts w:hint="eastAsia" w:ascii="TimesNewRoman" w:hAnsi="TimesNewRoman" w:eastAsia="仿宋_GB2312" w:cs="TimesNewRoman"/>
          <w:b/>
          <w:color w:val="auto"/>
          <w:sz w:val="32"/>
          <w:szCs w:val="32"/>
        </w:rPr>
        <w:t>二、事业收入：</w:t>
      </w:r>
      <w:r>
        <w:rPr>
          <w:rFonts w:hint="eastAsia" w:ascii="TimesNewRoman" w:hAnsi="TimesNewRoman" w:eastAsia="仿宋_GB2312" w:cs="TimesNewRoman"/>
          <w:color w:val="auto"/>
          <w:sz w:val="32"/>
          <w:szCs w:val="32"/>
        </w:rPr>
        <w:t>指事业单位开展专业业务活动及辅助活动所取得的收入。</w:t>
      </w:r>
    </w:p>
    <w:p w14:paraId="125AB419">
      <w:pPr>
        <w:pStyle w:val="4"/>
        <w:keepNext w:val="0"/>
        <w:keepLines w:val="0"/>
        <w:pageBreakBefore w:val="0"/>
        <w:widowControl w:val="0"/>
        <w:kinsoku/>
        <w:wordWrap/>
        <w:overflowPunct/>
        <w:topLinePunct w:val="0"/>
        <w:autoSpaceDE/>
        <w:autoSpaceDN/>
        <w:bidi w:val="0"/>
        <w:adjustRightInd w:val="0"/>
        <w:snapToGrid w:val="0"/>
        <w:spacing w:line="560" w:lineRule="exact"/>
        <w:ind w:firstLine="630" w:firstLineChars="196"/>
        <w:textAlignment w:val="auto"/>
        <w:rPr>
          <w:rFonts w:ascii="TimesNewRoman" w:hAnsi="TimesNewRoman" w:eastAsia="仿宋_GB2312" w:cs="TimesNewRoman"/>
          <w:color w:val="auto"/>
          <w:sz w:val="32"/>
          <w:szCs w:val="32"/>
        </w:rPr>
      </w:pPr>
      <w:r>
        <w:rPr>
          <w:rFonts w:hint="eastAsia" w:ascii="TimesNewRoman" w:hAnsi="TimesNewRoman" w:eastAsia="仿宋_GB2312" w:cs="TimesNewRoman"/>
          <w:b/>
          <w:color w:val="auto"/>
          <w:sz w:val="32"/>
          <w:szCs w:val="32"/>
        </w:rPr>
        <w:t>三、财政专户管理资金：</w:t>
      </w:r>
      <w:r>
        <w:rPr>
          <w:rFonts w:hint="eastAsia" w:ascii="TimesNewRoman" w:hAnsi="TimesNewRoman" w:eastAsia="仿宋_GB2312" w:cs="TimesNewRoman"/>
          <w:color w:val="auto"/>
          <w:sz w:val="32"/>
          <w:szCs w:val="32"/>
        </w:rPr>
        <w:t>指按照非税收入管理相关规定，纳入财政专户管理的教育收费等。</w:t>
      </w:r>
    </w:p>
    <w:p w14:paraId="591DB993">
      <w:pPr>
        <w:pStyle w:val="4"/>
        <w:keepNext w:val="0"/>
        <w:keepLines w:val="0"/>
        <w:pageBreakBefore w:val="0"/>
        <w:widowControl w:val="0"/>
        <w:kinsoku/>
        <w:wordWrap/>
        <w:overflowPunct/>
        <w:topLinePunct w:val="0"/>
        <w:autoSpaceDE/>
        <w:autoSpaceDN/>
        <w:bidi w:val="0"/>
        <w:adjustRightInd w:val="0"/>
        <w:snapToGrid w:val="0"/>
        <w:spacing w:line="560" w:lineRule="exact"/>
        <w:ind w:firstLine="630" w:firstLineChars="196"/>
        <w:textAlignment w:val="auto"/>
        <w:rPr>
          <w:rFonts w:ascii="TimesNewRoman" w:hAnsi="TimesNewRoman" w:eastAsia="仿宋_GB2312" w:cs="TimesNewRoman"/>
          <w:color w:val="auto"/>
          <w:sz w:val="32"/>
          <w:szCs w:val="32"/>
        </w:rPr>
      </w:pPr>
      <w:r>
        <w:rPr>
          <w:rFonts w:hint="eastAsia" w:ascii="TimesNewRoman" w:hAnsi="TimesNewRoman" w:eastAsia="仿宋_GB2312" w:cs="TimesNewRoman"/>
          <w:b/>
          <w:color w:val="auto"/>
          <w:sz w:val="32"/>
          <w:szCs w:val="32"/>
        </w:rPr>
        <w:t>四、事业单位经营收入：</w:t>
      </w:r>
      <w:r>
        <w:rPr>
          <w:rFonts w:hint="eastAsia" w:ascii="TimesNewRoman" w:hAnsi="TimesNewRoman" w:eastAsia="仿宋_GB2312" w:cs="TimesNewRoman"/>
          <w:color w:val="auto"/>
          <w:sz w:val="32"/>
          <w:szCs w:val="32"/>
        </w:rPr>
        <w:t>指事业单位在专业业务活动及其辅助活动之外开展非独立核算经营活动取得的收入。</w:t>
      </w:r>
    </w:p>
    <w:p w14:paraId="70C8180A">
      <w:pPr>
        <w:pStyle w:val="4"/>
        <w:keepNext w:val="0"/>
        <w:keepLines w:val="0"/>
        <w:pageBreakBefore w:val="0"/>
        <w:widowControl w:val="0"/>
        <w:kinsoku/>
        <w:wordWrap/>
        <w:overflowPunct/>
        <w:topLinePunct w:val="0"/>
        <w:autoSpaceDE/>
        <w:autoSpaceDN/>
        <w:bidi w:val="0"/>
        <w:adjustRightInd w:val="0"/>
        <w:snapToGrid w:val="0"/>
        <w:spacing w:line="560" w:lineRule="exact"/>
        <w:ind w:firstLine="630" w:firstLineChars="196"/>
        <w:textAlignment w:val="auto"/>
        <w:rPr>
          <w:rFonts w:ascii="TimesNewRoman" w:hAnsi="TimesNewRoman" w:eastAsia="仿宋_GB2312" w:cs="TimesNewRoman"/>
          <w:color w:val="auto"/>
          <w:sz w:val="32"/>
          <w:szCs w:val="32"/>
        </w:rPr>
      </w:pPr>
      <w:r>
        <w:rPr>
          <w:rFonts w:hint="eastAsia" w:ascii="TimesNewRoman" w:hAnsi="TimesNewRoman" w:eastAsia="仿宋_GB2312" w:cs="TimesNewRoman"/>
          <w:b/>
          <w:color w:val="auto"/>
          <w:sz w:val="32"/>
          <w:szCs w:val="32"/>
        </w:rPr>
        <w:t>五、附属单位上缴收入：</w:t>
      </w:r>
      <w:r>
        <w:rPr>
          <w:rFonts w:hint="eastAsia" w:ascii="TimesNewRoman" w:hAnsi="TimesNewRoman" w:eastAsia="仿宋_GB2312" w:cs="TimesNewRoman"/>
          <w:color w:val="auto"/>
          <w:sz w:val="32"/>
          <w:szCs w:val="32"/>
        </w:rPr>
        <w:t>本单位所属下级单位上缴给本单位的全部收入。</w:t>
      </w:r>
    </w:p>
    <w:p w14:paraId="6981B079">
      <w:pPr>
        <w:pStyle w:val="4"/>
        <w:keepNext w:val="0"/>
        <w:keepLines w:val="0"/>
        <w:pageBreakBefore w:val="0"/>
        <w:widowControl w:val="0"/>
        <w:kinsoku/>
        <w:wordWrap/>
        <w:overflowPunct/>
        <w:topLinePunct w:val="0"/>
        <w:autoSpaceDE/>
        <w:autoSpaceDN/>
        <w:bidi w:val="0"/>
        <w:adjustRightInd w:val="0"/>
        <w:snapToGrid w:val="0"/>
        <w:spacing w:line="560" w:lineRule="exact"/>
        <w:ind w:firstLine="630" w:firstLineChars="196"/>
        <w:textAlignment w:val="auto"/>
        <w:rPr>
          <w:rFonts w:ascii="TimesNewRoman" w:hAnsi="TimesNewRoman" w:eastAsia="仿宋_GB2312" w:cs="TimesNewRoman"/>
          <w:color w:val="auto"/>
          <w:sz w:val="32"/>
          <w:szCs w:val="32"/>
        </w:rPr>
      </w:pPr>
      <w:r>
        <w:rPr>
          <w:rFonts w:hint="eastAsia" w:ascii="TimesNewRoman" w:hAnsi="TimesNewRoman" w:eastAsia="仿宋_GB2312" w:cs="TimesNewRoman"/>
          <w:b/>
          <w:color w:val="auto"/>
          <w:sz w:val="32"/>
          <w:szCs w:val="32"/>
        </w:rPr>
        <w:t>六、上年结转：</w:t>
      </w:r>
      <w:r>
        <w:rPr>
          <w:rFonts w:hint="eastAsia" w:ascii="TimesNewRoman" w:hAnsi="TimesNewRoman" w:eastAsia="仿宋_GB2312" w:cs="TimesNewRoman"/>
          <w:color w:val="auto"/>
          <w:sz w:val="32"/>
          <w:szCs w:val="32"/>
        </w:rPr>
        <w:t>指以前年度安排、结转到本年仍按原用途继续使用的资金。</w:t>
      </w:r>
    </w:p>
    <w:p w14:paraId="6503F6C5">
      <w:pPr>
        <w:pStyle w:val="4"/>
        <w:keepNext w:val="0"/>
        <w:keepLines w:val="0"/>
        <w:pageBreakBefore w:val="0"/>
        <w:widowControl w:val="0"/>
        <w:kinsoku/>
        <w:wordWrap/>
        <w:overflowPunct/>
        <w:topLinePunct w:val="0"/>
        <w:autoSpaceDE/>
        <w:autoSpaceDN/>
        <w:bidi w:val="0"/>
        <w:adjustRightInd w:val="0"/>
        <w:snapToGrid w:val="0"/>
        <w:spacing w:line="560" w:lineRule="exact"/>
        <w:ind w:firstLine="630" w:firstLineChars="196"/>
        <w:textAlignment w:val="auto"/>
        <w:rPr>
          <w:rFonts w:ascii="TimesNewRoman" w:hAnsi="TimesNewRoman" w:eastAsia="仿宋_GB2312" w:cs="TimesNewRoman"/>
          <w:color w:val="auto"/>
          <w:sz w:val="32"/>
          <w:szCs w:val="32"/>
        </w:rPr>
      </w:pPr>
      <w:r>
        <w:rPr>
          <w:rFonts w:hint="eastAsia" w:ascii="TimesNewRoman" w:hAnsi="TimesNewRoman" w:eastAsia="仿宋_GB2312" w:cs="TimesNewRoman"/>
          <w:b/>
          <w:color w:val="auto"/>
          <w:sz w:val="32"/>
          <w:szCs w:val="32"/>
        </w:rPr>
        <w:t>七、结转下年：</w:t>
      </w:r>
      <w:r>
        <w:rPr>
          <w:rFonts w:hint="eastAsia" w:ascii="TimesNewRoman" w:hAnsi="TimesNewRoman" w:eastAsia="仿宋_GB2312" w:cs="TimesNewRoman"/>
          <w:color w:val="auto"/>
          <w:sz w:val="32"/>
          <w:szCs w:val="32"/>
        </w:rPr>
        <w:t>指以前年度预算安排、因客观条件发生变化无法按原计划实施，需以后年度按原用途继续使用的资金。</w:t>
      </w:r>
    </w:p>
    <w:p w14:paraId="47A4B388">
      <w:pPr>
        <w:pStyle w:val="4"/>
        <w:keepNext w:val="0"/>
        <w:keepLines w:val="0"/>
        <w:pageBreakBefore w:val="0"/>
        <w:widowControl w:val="0"/>
        <w:kinsoku/>
        <w:wordWrap/>
        <w:overflowPunct/>
        <w:topLinePunct w:val="0"/>
        <w:autoSpaceDE/>
        <w:autoSpaceDN/>
        <w:bidi w:val="0"/>
        <w:adjustRightInd w:val="0"/>
        <w:snapToGrid w:val="0"/>
        <w:spacing w:line="560" w:lineRule="exact"/>
        <w:ind w:firstLine="630" w:firstLineChars="196"/>
        <w:textAlignment w:val="auto"/>
        <w:rPr>
          <w:rFonts w:ascii="TimesNewRoman" w:hAnsi="TimesNewRoman" w:eastAsia="仿宋_GB2312" w:cs="TimesNewRoman"/>
          <w:color w:val="auto"/>
          <w:sz w:val="32"/>
          <w:szCs w:val="32"/>
        </w:rPr>
      </w:pPr>
      <w:r>
        <w:rPr>
          <w:rFonts w:hint="eastAsia" w:ascii="TimesNewRoman" w:hAnsi="TimesNewRoman" w:eastAsia="仿宋_GB2312" w:cs="TimesNewRoman"/>
          <w:b/>
          <w:color w:val="auto"/>
          <w:sz w:val="32"/>
          <w:szCs w:val="32"/>
        </w:rPr>
        <w:t>八、基本支出：</w:t>
      </w:r>
      <w:r>
        <w:rPr>
          <w:rFonts w:hint="eastAsia" w:ascii="TimesNewRoman" w:hAnsi="TimesNewRoman" w:eastAsia="仿宋_GB2312" w:cs="TimesNewRoman"/>
          <w:color w:val="auto"/>
          <w:sz w:val="32"/>
          <w:szCs w:val="32"/>
        </w:rPr>
        <w:t>指为保障机构正常运转、完成日常工作任务而发生的人员支出和公用支出。</w:t>
      </w:r>
    </w:p>
    <w:p w14:paraId="2AC17D02">
      <w:pPr>
        <w:pStyle w:val="4"/>
        <w:keepNext w:val="0"/>
        <w:keepLines w:val="0"/>
        <w:pageBreakBefore w:val="0"/>
        <w:widowControl w:val="0"/>
        <w:kinsoku/>
        <w:wordWrap/>
        <w:overflowPunct/>
        <w:topLinePunct w:val="0"/>
        <w:autoSpaceDE/>
        <w:autoSpaceDN/>
        <w:bidi w:val="0"/>
        <w:adjustRightInd w:val="0"/>
        <w:snapToGrid w:val="0"/>
        <w:spacing w:line="560" w:lineRule="exact"/>
        <w:ind w:firstLine="630" w:firstLineChars="196"/>
        <w:textAlignment w:val="auto"/>
        <w:rPr>
          <w:rFonts w:ascii="TimesNewRoman" w:hAnsi="TimesNewRoman" w:eastAsia="仿宋_GB2312" w:cs="TimesNewRoman"/>
          <w:color w:val="auto"/>
          <w:sz w:val="32"/>
          <w:szCs w:val="32"/>
        </w:rPr>
      </w:pPr>
      <w:r>
        <w:rPr>
          <w:rFonts w:hint="eastAsia" w:ascii="TimesNewRoman" w:hAnsi="TimesNewRoman" w:eastAsia="仿宋_GB2312" w:cs="TimesNewRoman"/>
          <w:b/>
          <w:color w:val="auto"/>
          <w:sz w:val="32"/>
          <w:szCs w:val="32"/>
        </w:rPr>
        <w:t>九、项目支出：</w:t>
      </w:r>
      <w:r>
        <w:rPr>
          <w:rFonts w:hint="eastAsia" w:ascii="TimesNewRoman" w:hAnsi="TimesNewRoman" w:eastAsia="仿宋_GB2312" w:cs="TimesNewRoman"/>
          <w:color w:val="auto"/>
          <w:sz w:val="32"/>
          <w:szCs w:val="32"/>
        </w:rPr>
        <w:t>指在除基本支出之外的支出，主要用于完成特定的工作任务和事业发展目标。</w:t>
      </w:r>
    </w:p>
    <w:p w14:paraId="5A576C9C">
      <w:pPr>
        <w:keepNext w:val="0"/>
        <w:keepLines w:val="0"/>
        <w:pageBreakBefore w:val="0"/>
        <w:widowControl w:val="0"/>
        <w:kinsoku/>
        <w:wordWrap/>
        <w:overflowPunct/>
        <w:topLinePunct w:val="0"/>
        <w:autoSpaceDE/>
        <w:autoSpaceDN/>
        <w:bidi w:val="0"/>
        <w:ind w:firstLine="643" w:firstLineChars="200"/>
        <w:textAlignment w:val="auto"/>
        <w:rPr>
          <w:rFonts w:hint="default"/>
          <w:color w:val="auto"/>
          <w:lang w:val="en-US" w:eastAsia="zh-CN"/>
        </w:rPr>
      </w:pPr>
      <w:r>
        <w:rPr>
          <w:rFonts w:hint="eastAsia" w:ascii="TimesNewRoman" w:hAnsi="TimesNewRoman" w:eastAsia="仿宋_GB2312" w:cs="TimesNewRoman"/>
          <w:b/>
          <w:color w:val="auto"/>
          <w:sz w:val="32"/>
          <w:szCs w:val="32"/>
        </w:rPr>
        <w:t xml:space="preserve">十、机关运行经费: </w:t>
      </w:r>
      <w:r>
        <w:rPr>
          <w:rFonts w:hint="eastAsia" w:ascii="TimesNewRoman" w:hAnsi="TimesNewRoman" w:eastAsia="仿宋_GB2312" w:cs="TimesNewRoman"/>
          <w:color w:val="auto"/>
          <w:sz w:val="32"/>
          <w:szCs w:val="32"/>
        </w:rPr>
        <w:t>为保障行政单位（包括参照公务员法管理的事业单位）运行用于购买货物和服务的各项资金，包括办公及印刷费、邮电费、差旅费、会议费、福利费、日常维修费、一般设备购置费、办公用房水电费、办公用房取暖费、办公用房物业管理费、公务用车运行维护费以及其他费用</w:t>
      </w:r>
      <w:r>
        <w:rPr>
          <w:rFonts w:hint="eastAsia" w:ascii="TimesNewRoman" w:hAnsi="TimesNewRoman" w:eastAsia="仿宋_GB2312" w:cs="TimesNewRoman"/>
          <w:color w:val="auto"/>
          <w:sz w:val="32"/>
          <w:szCs w:val="32"/>
          <w:lang w:eastAsia="zh-CN"/>
        </w:rPr>
        <w:t>。</w:t>
      </w:r>
    </w:p>
    <w:sectPr>
      <w:pgSz w:w="11906" w:h="16838"/>
      <w:pgMar w:top="1440" w:right="1803" w:bottom="1440" w:left="1803"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TimesNewRoman">
    <w:altName w:val="Segoe Print"/>
    <w:panose1 w:val="00000000000000000000"/>
    <w:charset w:val="00"/>
    <w:family w:val="auto"/>
    <w:pitch w:val="default"/>
    <w:sig w:usb0="00000000" w:usb1="00000000" w:usb2="00000029" w:usb3="00000000" w:csb0="600001FF" w:csb1="FFFF0000"/>
  </w:font>
  <w:font w:name="Segoe Print">
    <w:panose1 w:val="02000600000000000000"/>
    <w:charset w:val="00"/>
    <w:family w:val="auto"/>
    <w:pitch w:val="default"/>
    <w:sig w:usb0="0000028F" w:usb1="00000000" w:usb2="00000000" w:usb3="00000000" w:csb0="2000009F" w:csb1="47010000"/>
  </w:font>
  <w:font w:name="华文中宋">
    <w:panose1 w:val="02010600040101010101"/>
    <w:charset w:val="86"/>
    <w:family w:val="auto"/>
    <w:pitch w:val="default"/>
    <w:sig w:usb0="00000287" w:usb1="080F0000" w:usb2="00000000" w:usb3="00000000" w:csb0="0004009F" w:csb1="DFD70000"/>
  </w:font>
  <w:font w:name="仿宋">
    <w:panose1 w:val="02010609060101010101"/>
    <w:charset w:val="86"/>
    <w:family w:val="auto"/>
    <w:pitch w:val="default"/>
    <w:sig w:usb0="800002BF" w:usb1="38CF7CFA" w:usb2="00000016" w:usb3="00000000" w:csb0="00040001" w:csb1="00000000"/>
  </w:font>
  <w:font w:name="楷体_GB2312">
    <w:panose1 w:val="02010609030101010101"/>
    <w:charset w:val="86"/>
    <w:family w:val="modern"/>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汉仪中秀体简">
    <w:altName w:val="微软雅黑"/>
    <w:panose1 w:val="00000000000000000000"/>
    <w:charset w:val="00"/>
    <w:family w:val="auto"/>
    <w:pitch w:val="default"/>
    <w:sig w:usb0="00000000" w:usb1="00000000" w:usb2="00000000" w:usb3="00000000" w:csb0="00040001" w:csb1="00000000"/>
  </w:font>
  <w:font w:name="微软雅黑">
    <w:panose1 w:val="020B0503020204020204"/>
    <w:charset w:val="86"/>
    <w:family w:val="auto"/>
    <w:pitch w:val="default"/>
    <w:sig w:usb0="80000287" w:usb1="2ACF3C50" w:usb2="00000016" w:usb3="00000000" w:csb0="0004001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F39635F"/>
    <w:multiLevelType w:val="singleLevel"/>
    <w:tmpl w:val="0F39635F"/>
    <w:lvl w:ilvl="0" w:tentative="0">
      <w:start w:val="1"/>
      <w:numFmt w:val="decimal"/>
      <w:lvlText w:val="%1."/>
      <w:lvlJc w:val="left"/>
      <w:pPr>
        <w:tabs>
          <w:tab w:val="left" w:pos="312"/>
        </w:tabs>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6"/>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
  <w:rsids>
    <w:rsidRoot w:val="00E907C4"/>
    <w:rsid w:val="000E28EE"/>
    <w:rsid w:val="00267E33"/>
    <w:rsid w:val="004A4DC6"/>
    <w:rsid w:val="0057562B"/>
    <w:rsid w:val="006546AF"/>
    <w:rsid w:val="00726D96"/>
    <w:rsid w:val="00740B10"/>
    <w:rsid w:val="008F6D1A"/>
    <w:rsid w:val="009168AC"/>
    <w:rsid w:val="009A3CA3"/>
    <w:rsid w:val="00AE3242"/>
    <w:rsid w:val="00B964EC"/>
    <w:rsid w:val="00BD640A"/>
    <w:rsid w:val="00DB2A5C"/>
    <w:rsid w:val="00E907C4"/>
    <w:rsid w:val="00EC7755"/>
    <w:rsid w:val="00F45ECB"/>
    <w:rsid w:val="00F974AD"/>
    <w:rsid w:val="038E1230"/>
    <w:rsid w:val="039940F3"/>
    <w:rsid w:val="06DA3525"/>
    <w:rsid w:val="08485B98"/>
    <w:rsid w:val="0ABA45A8"/>
    <w:rsid w:val="0EC75F77"/>
    <w:rsid w:val="12075622"/>
    <w:rsid w:val="12ED6B8F"/>
    <w:rsid w:val="17320E51"/>
    <w:rsid w:val="25D83AF1"/>
    <w:rsid w:val="261819CE"/>
    <w:rsid w:val="288C20B2"/>
    <w:rsid w:val="31977582"/>
    <w:rsid w:val="31BE3FC4"/>
    <w:rsid w:val="32913EAF"/>
    <w:rsid w:val="33C06DA7"/>
    <w:rsid w:val="33F50A6A"/>
    <w:rsid w:val="35385BA1"/>
    <w:rsid w:val="36DC067F"/>
    <w:rsid w:val="37016BBB"/>
    <w:rsid w:val="39E31934"/>
    <w:rsid w:val="3D252D8D"/>
    <w:rsid w:val="3F2D72BA"/>
    <w:rsid w:val="433D6B12"/>
    <w:rsid w:val="46657790"/>
    <w:rsid w:val="4DE84647"/>
    <w:rsid w:val="513B0326"/>
    <w:rsid w:val="558077B3"/>
    <w:rsid w:val="55C0230C"/>
    <w:rsid w:val="562B5A0C"/>
    <w:rsid w:val="5A025174"/>
    <w:rsid w:val="5C0E0B89"/>
    <w:rsid w:val="5DA76341"/>
    <w:rsid w:val="69D543CF"/>
    <w:rsid w:val="71B3318F"/>
    <w:rsid w:val="74281823"/>
    <w:rsid w:val="772F302B"/>
    <w:rsid w:val="782427EC"/>
    <w:rsid w:val="7AFF66CD"/>
    <w:rsid w:val="7B4A590A"/>
    <w:rsid w:val="7EF55665"/>
    <w:rsid w:val="7F8C7F6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name="header"/>
    <w:lsdException w:qFormat="1"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6">
    <w:name w:val="Default Paragraph Font"/>
    <w:semiHidden/>
    <w:unhideWhenUsed/>
    <w:qFormat/>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8"/>
    <w:semiHidden/>
    <w:unhideWhenUsed/>
    <w:qFormat/>
    <w:uiPriority w:val="99"/>
    <w:pPr>
      <w:tabs>
        <w:tab w:val="center" w:pos="4153"/>
        <w:tab w:val="right" w:pos="8306"/>
      </w:tabs>
      <w:snapToGrid w:val="0"/>
      <w:jc w:val="left"/>
    </w:pPr>
    <w:rPr>
      <w:sz w:val="18"/>
      <w:szCs w:val="18"/>
    </w:rPr>
  </w:style>
  <w:style w:type="paragraph" w:styleId="3">
    <w:name w:val="header"/>
    <w:basedOn w:val="1"/>
    <w:link w:val="7"/>
    <w:semiHidden/>
    <w:unhideWhenUsed/>
    <w:qFormat/>
    <w:uiPriority w:val="99"/>
    <w:pPr>
      <w:pBdr>
        <w:bottom w:val="single" w:color="auto" w:sz="6" w:space="1"/>
      </w:pBdr>
      <w:tabs>
        <w:tab w:val="center" w:pos="4153"/>
        <w:tab w:val="right" w:pos="8306"/>
      </w:tabs>
      <w:snapToGrid w:val="0"/>
      <w:jc w:val="center"/>
    </w:pPr>
    <w:rPr>
      <w:sz w:val="18"/>
      <w:szCs w:val="18"/>
    </w:rPr>
  </w:style>
  <w:style w:type="paragraph" w:styleId="4">
    <w:name w:val="Normal (Web)"/>
    <w:basedOn w:val="1"/>
    <w:qFormat/>
    <w:uiPriority w:val="0"/>
    <w:pPr>
      <w:widowControl/>
      <w:spacing w:before="100" w:beforeAutospacing="1" w:after="100" w:afterAutospacing="1"/>
      <w:jc w:val="left"/>
    </w:pPr>
    <w:rPr>
      <w:rFonts w:ascii="宋体" w:hAnsi="宋体" w:eastAsia="宋体" w:cs="宋体"/>
      <w:kern w:val="0"/>
      <w:sz w:val="24"/>
      <w:szCs w:val="24"/>
    </w:rPr>
  </w:style>
  <w:style w:type="character" w:customStyle="1" w:styleId="7">
    <w:name w:val="页眉 Char"/>
    <w:basedOn w:val="6"/>
    <w:link w:val="3"/>
    <w:semiHidden/>
    <w:qFormat/>
    <w:uiPriority w:val="99"/>
    <w:rPr>
      <w:sz w:val="18"/>
      <w:szCs w:val="18"/>
    </w:rPr>
  </w:style>
  <w:style w:type="character" w:customStyle="1" w:styleId="8">
    <w:name w:val="页脚 Char"/>
    <w:basedOn w:val="6"/>
    <w:link w:val="2"/>
    <w:semiHidden/>
    <w:qFormat/>
    <w:uiPriority w:val="99"/>
    <w:rPr>
      <w:sz w:val="18"/>
      <w:szCs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33</Pages>
  <Words>10451</Words>
  <Characters>11405</Characters>
  <Lines>46</Lines>
  <Paragraphs>13</Paragraphs>
  <TotalTime>12</TotalTime>
  <ScaleCrop>false</ScaleCrop>
  <LinksUpToDate>false</LinksUpToDate>
  <CharactersWithSpaces>11833</CharactersWithSpaces>
  <Application>WPS Office_12.1.0.19770_F1E327BC-269C-435d-A152-05C5408002CA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2023-01-30T01:51:00Z</dcterms:created>
  <dc:creator>lenovo</dc:creator>
  <cp:lastModifiedBy>核算中心-朱兆琪</cp:lastModifiedBy>
  <cp:lastPrinted>2025-02-13T02:40:00Z</cp:lastPrinted>
  <dcterms:modified xsi:type="dcterms:W3CDTF">2025-02-21T03:21:04Z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eyJoZGlkIjoiYWJjYzA0NzdjODdiMjEwZjgyZGY3ZTQxOWZmYzhiNDYiLCJ1c2VySWQiOiIyMDE4NDU3MTIifQ==</vt:lpwstr>
  </property>
  <property fmtid="{D5CDD505-2E9C-101B-9397-08002B2CF9AE}" pid="3" name="KSOProductBuildVer">
    <vt:lpwstr>2052-12.1.0.19770</vt:lpwstr>
  </property>
  <property fmtid="{D5CDD505-2E9C-101B-9397-08002B2CF9AE}" pid="4" name="ICV">
    <vt:lpwstr>7EFCF5535B9E49F7A6423DCE2FA1F529_12</vt:lpwstr>
  </property>
</Properties>
</file>